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3D253A">
      <w:pPr>
        <w:jc w:val="center"/>
        <w:outlineLvl w:val="0"/>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宁南县中医医院综合能力提升建设项目</w:t>
      </w:r>
    </w:p>
    <w:p w14:paraId="2BB0204E">
      <w:pPr>
        <w:jc w:val="center"/>
        <w:outlineLvl w:val="0"/>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情况说明</w:t>
      </w:r>
    </w:p>
    <w:p w14:paraId="7A2A71B0">
      <w:pPr>
        <w:numPr>
          <w:ilvl w:val="0"/>
          <w:numId w:val="0"/>
        </w:numPr>
        <w:spacing w:beforeLines="50" w:afterLines="50" w:line="360" w:lineRule="auto"/>
        <w:jc w:val="both"/>
        <w:outlineLvl w:val="0"/>
        <w:rPr>
          <w:rFonts w:hint="eastAsia" w:ascii="仿宋" w:hAnsi="仿宋" w:eastAsia="仿宋"/>
          <w:b/>
          <w:bCs/>
          <w:color w:val="auto"/>
          <w:sz w:val="32"/>
          <w:szCs w:val="32"/>
        </w:rPr>
      </w:pPr>
      <w:bookmarkStart w:id="0" w:name="_Toc29970"/>
      <w:r>
        <w:rPr>
          <w:rFonts w:hint="eastAsia" w:ascii="仿宋" w:hAnsi="仿宋" w:eastAsia="仿宋"/>
          <w:b/>
          <w:bCs/>
          <w:color w:val="auto"/>
          <w:sz w:val="32"/>
          <w:szCs w:val="32"/>
          <w:lang w:val="en-US" w:eastAsia="zh-CN"/>
        </w:rPr>
        <w:t>一、</w:t>
      </w:r>
      <w:r>
        <w:rPr>
          <w:rFonts w:hint="eastAsia" w:ascii="仿宋" w:hAnsi="仿宋" w:eastAsia="仿宋"/>
          <w:b/>
          <w:bCs/>
          <w:color w:val="auto"/>
          <w:sz w:val="32"/>
          <w:szCs w:val="32"/>
        </w:rPr>
        <w:t>项目基本情况</w:t>
      </w:r>
      <w:bookmarkEnd w:id="0"/>
    </w:p>
    <w:p w14:paraId="5E8EAFD6">
      <w:pPr>
        <w:pageBreakBefore w:val="0"/>
        <w:widowControl w:val="0"/>
        <w:kinsoku/>
        <w:wordWrap/>
        <w:overflowPunct/>
        <w:topLinePunct w:val="0"/>
        <w:autoSpaceDE/>
        <w:autoSpaceDN/>
        <w:bidi w:val="0"/>
        <w:adjustRightInd/>
        <w:snapToGrid/>
        <w:spacing w:beforeLines="50" w:afterLines="50" w:line="360" w:lineRule="auto"/>
        <w:jc w:val="both"/>
        <w:textAlignment w:val="auto"/>
        <w:outlineLvl w:val="1"/>
        <w:rPr>
          <w:rFonts w:hint="eastAsia" w:ascii="仿宋" w:hAnsi="仿宋" w:eastAsia="仿宋" w:cs="仿宋"/>
          <w:b/>
          <w:bCs/>
          <w:color w:val="auto"/>
          <w:sz w:val="32"/>
          <w:szCs w:val="32"/>
          <w:lang w:val="en-US"/>
        </w:rPr>
      </w:pPr>
      <w:bookmarkStart w:id="1" w:name="_Toc498385045"/>
      <w:bookmarkStart w:id="2" w:name="_Toc498385714"/>
      <w:bookmarkStart w:id="3" w:name="_Toc29907"/>
      <w:bookmarkStart w:id="4" w:name="_Toc29323"/>
      <w:r>
        <w:rPr>
          <w:rFonts w:hint="eastAsia" w:ascii="仿宋" w:hAnsi="仿宋" w:eastAsia="仿宋" w:cs="仿宋"/>
          <w:b/>
          <w:bCs/>
          <w:color w:val="auto"/>
          <w:sz w:val="32"/>
          <w:szCs w:val="32"/>
          <w:lang w:val="en-US"/>
        </w:rPr>
        <w:t>（一）</w:t>
      </w:r>
      <w:bookmarkEnd w:id="1"/>
      <w:bookmarkEnd w:id="2"/>
      <w:r>
        <w:rPr>
          <w:rFonts w:hint="eastAsia" w:ascii="仿宋" w:hAnsi="仿宋" w:eastAsia="仿宋" w:cs="仿宋"/>
          <w:b/>
          <w:bCs/>
          <w:color w:val="auto"/>
          <w:sz w:val="32"/>
          <w:szCs w:val="32"/>
          <w:lang w:val="en-US"/>
        </w:rPr>
        <w:t>市县级行业专项规划概况</w:t>
      </w:r>
      <w:bookmarkEnd w:id="3"/>
      <w:bookmarkEnd w:id="4"/>
    </w:p>
    <w:p w14:paraId="61751786">
      <w:pPr>
        <w:pStyle w:val="4"/>
        <w:numPr>
          <w:ilvl w:val="0"/>
          <w:numId w:val="0"/>
        </w:numPr>
        <w:bidi w:val="0"/>
        <w:spacing w:before="120" w:after="120" w:line="360" w:lineRule="auto"/>
        <w:ind w:left="420" w:leftChars="0"/>
        <w:rPr>
          <w:rFonts w:hint="eastAsia" w:ascii="仿宋" w:hAnsi="仿宋" w:eastAsia="仿宋" w:cs="仿宋"/>
          <w:highlight w:val="none"/>
          <w:lang w:val="zh-CN" w:eastAsia="zh-CN"/>
        </w:rPr>
      </w:pPr>
      <w:bookmarkStart w:id="5" w:name="_Toc6067"/>
      <w:bookmarkStart w:id="6" w:name="_Toc21385"/>
      <w:bookmarkStart w:id="7" w:name="_Toc2918"/>
      <w:bookmarkStart w:id="8" w:name="_Toc9563"/>
      <w:bookmarkStart w:id="9" w:name="_Toc2824"/>
      <w:bookmarkStart w:id="10" w:name="_Toc5040"/>
      <w:bookmarkStart w:id="11" w:name="_Toc18536"/>
      <w:bookmarkStart w:id="12" w:name="_Toc5844"/>
      <w:bookmarkStart w:id="13" w:name="_Toc10667"/>
      <w:bookmarkStart w:id="14" w:name="_Toc2948"/>
      <w:bookmarkStart w:id="15" w:name="_Toc9841"/>
      <w:bookmarkStart w:id="16" w:name="_Toc18204"/>
      <w:bookmarkStart w:id="17" w:name="_Toc30768"/>
      <w:bookmarkStart w:id="18" w:name="_Toc30057"/>
      <w:bookmarkStart w:id="19" w:name="_Toc8651"/>
      <w:bookmarkStart w:id="20" w:name="_Toc3378"/>
      <w:bookmarkStart w:id="21" w:name="_Toc21332"/>
      <w:bookmarkStart w:id="22" w:name="_Toc19274"/>
      <w:bookmarkStart w:id="23" w:name="_Toc29490"/>
      <w:r>
        <w:rPr>
          <w:rFonts w:hint="eastAsia" w:ascii="仿宋" w:hAnsi="仿宋" w:eastAsia="仿宋" w:cs="仿宋"/>
          <w:highlight w:val="none"/>
          <w:lang w:val="en-US" w:eastAsia="zh-CN"/>
        </w:rPr>
        <w:t>1.宁南县</w:t>
      </w:r>
      <w:r>
        <w:rPr>
          <w:rFonts w:hint="eastAsia" w:ascii="仿宋" w:hAnsi="仿宋" w:eastAsia="仿宋" w:cs="仿宋"/>
          <w:highlight w:val="none"/>
          <w:lang w:val="zh-CN" w:eastAsia="zh-CN"/>
        </w:rPr>
        <w:t>基本情况</w:t>
      </w:r>
      <w:bookmarkEnd w:id="5"/>
      <w:bookmarkEnd w:id="6"/>
      <w:bookmarkEnd w:id="7"/>
      <w:bookmarkEnd w:id="8"/>
      <w:bookmarkEnd w:id="9"/>
      <w:bookmarkEnd w:id="10"/>
      <w:bookmarkEnd w:id="11"/>
      <w:bookmarkEnd w:id="12"/>
      <w:bookmarkEnd w:id="13"/>
      <w:bookmarkEnd w:id="14"/>
    </w:p>
    <w:p w14:paraId="478B431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（1）社会发展现状</w:t>
      </w:r>
    </w:p>
    <w:p w14:paraId="38BF538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最早置县时间1931年1月1日，辖区面积1670.3平方公里，常住人口18.43万人，其中：城镇7.98万人，农村10.45万人，户籍人口20.33万人。2023年劳动力资源数8.21万人；就业人员7.66万人，城镇新增就业人员0.15万人，农村劳动力转移就业5.38万人，农村劳动力转移就业劳务收入12.86亿元。</w:t>
      </w:r>
    </w:p>
    <w:p w14:paraId="40523A4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2023年基本养老保险参保人数9.16万人，城镇职工基本养老保险参保2.66万人，企业职工基本养老保险参保1.25万人，基本医疗保险参保18.49万人，养老机构1家，养老机构床位398张，儿童福利院0家。</w:t>
      </w:r>
    </w:p>
    <w:p w14:paraId="3CE44AA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2023年末，全县各级各类学校162所，学前教育学校90所，义务教育学校69所，普通高中1所。各级各类学校专任教师0.1984万人，各级各类学校在校学生3.2607万人。</w:t>
      </w:r>
    </w:p>
    <w:p w14:paraId="59BF9D5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2023年末，医疗卫生机构102个，机构床位数0.1355万张，卫生技术人员0.1459万人，执业（助理）医师0.0586万人，人均预期寿命78.36岁，婴幼儿死亡率7.27‰。</w:t>
      </w:r>
    </w:p>
    <w:p w14:paraId="4126F03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2023年末，体育场地500个，宗教团体4个。</w:t>
      </w:r>
    </w:p>
    <w:p w14:paraId="1579DA6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（2）经济发展现状</w:t>
      </w:r>
    </w:p>
    <w:p w14:paraId="0BF4660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全县地区生产总值实现100.0175亿元，按不变价格计算（下同），同比增长8.4%。分产业看：第一产业实现增加值328511万元，增长4.2%，粮食产量10.76万吨，生猪出栏量29.52万头。第二产业实现增加值32.975亿元，增长12.8%；其中：工业增加值29.7869亿元，同比增长14.4%；第三产业实现增加值34.19亿元，增长8.3%，其中：批发和零售业增加值5.53亿元，住宿和餐饮业增加值1.211亿元，房地产业增加值4.09亿元。</w:t>
      </w:r>
    </w:p>
    <w:p w14:paraId="30C0292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民营经济增加值36.71亿元。其中：第一产业10.07亿元，第二产业12.96亿元，第三产业13.68亿元。</w:t>
      </w:r>
    </w:p>
    <w:p w14:paraId="5F356FD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市场主体数量13041家，同比增长5%；其中：国有、集体及其控股企业222家，私营企业1187家，个体工商户11375家，农民专业合作社250家。注册资本1098588.63万元，同比下降9.8%；其中：国有、集体及其控股企业308488.91万元，私营企业542183.79万元，个体工商户157975.09万元，农民专业合作社89940.84万元。</w:t>
      </w:r>
    </w:p>
    <w:p w14:paraId="67E423F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社会消费品零售总额34.99亿元。其中：城镇消费品零售总额20.39亿元，农村消费品零售总额14.64亿元，城乡居民人均可支配收入比上年增长6.47%，其中：城镇居民人均可支配收入比上年增长5.20%，农村居民人均可支配收入比上年增长6.98%。</w:t>
      </w:r>
    </w:p>
    <w:p w14:paraId="438BB4A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地方一般公共预算收入7亿元，扣除留抵退税因素后增长16.1%；一般公共预算支出22.35亿元，同比增长14.3%。全社会金融机构各项存款余额119.90亿元，各项贷款余额36.41亿元。</w:t>
      </w:r>
    </w:p>
    <w:p w14:paraId="4BAF8E3D">
      <w:pPr>
        <w:pStyle w:val="4"/>
        <w:numPr>
          <w:ilvl w:val="0"/>
          <w:numId w:val="0"/>
        </w:numPr>
        <w:bidi w:val="0"/>
        <w:spacing w:before="120" w:after="120" w:line="360" w:lineRule="auto"/>
        <w:ind w:left="420" w:leftChars="0"/>
        <w:rPr>
          <w:rFonts w:hint="eastAsia" w:ascii="仿宋" w:hAnsi="仿宋" w:eastAsia="仿宋" w:cs="仿宋"/>
          <w:highlight w:val="none"/>
        </w:rPr>
      </w:pPr>
      <w:bookmarkStart w:id="24" w:name="_Toc29331"/>
      <w:bookmarkStart w:id="25" w:name="_Toc19944"/>
      <w:bookmarkStart w:id="26" w:name="_Toc6270"/>
      <w:bookmarkStart w:id="27" w:name="_Toc11684"/>
      <w:bookmarkStart w:id="28" w:name="_Toc472"/>
      <w:bookmarkStart w:id="29" w:name="_Toc25879"/>
      <w:bookmarkStart w:id="30" w:name="_Toc2440"/>
      <w:bookmarkStart w:id="31" w:name="_Toc10545"/>
      <w:bookmarkStart w:id="32" w:name="_Toc21833"/>
      <w:bookmarkStart w:id="33" w:name="_Toc16708"/>
      <w:r>
        <w:rPr>
          <w:rFonts w:hint="eastAsia" w:ascii="仿宋" w:hAnsi="仿宋" w:eastAsia="仿宋" w:cs="仿宋"/>
          <w:highlight w:val="none"/>
          <w:lang w:eastAsia="zh-CN"/>
        </w:rPr>
        <w:t>2</w:t>
      </w:r>
      <w:r>
        <w:rPr>
          <w:rFonts w:hint="eastAsia" w:ascii="仿宋" w:hAnsi="仿宋" w:eastAsia="仿宋" w:cs="仿宋"/>
          <w:highlight w:val="none"/>
          <w:lang w:val="en-US" w:eastAsia="zh-CN"/>
        </w:rPr>
        <w:t>.</w:t>
      </w:r>
      <w:r>
        <w:rPr>
          <w:rFonts w:hint="eastAsia" w:ascii="仿宋" w:hAnsi="仿宋" w:eastAsia="仿宋" w:cs="仿宋"/>
          <w:highlight w:val="none"/>
        </w:rPr>
        <w:t>项目建设符合相关规划</w:t>
      </w:r>
      <w:bookmarkEnd w:id="24"/>
      <w:bookmarkEnd w:id="25"/>
      <w:bookmarkEnd w:id="26"/>
      <w:bookmarkEnd w:id="27"/>
      <w:bookmarkEnd w:id="28"/>
      <w:bookmarkEnd w:id="29"/>
      <w:bookmarkEnd w:id="30"/>
      <w:bookmarkEnd w:id="31"/>
      <w:bookmarkEnd w:id="32"/>
      <w:bookmarkEnd w:id="33"/>
    </w:p>
    <w:p w14:paraId="44C02D2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（1）国家层面</w:t>
      </w:r>
    </w:p>
    <w:p w14:paraId="482E698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bCs/>
          <w:sz w:val="28"/>
          <w:szCs w:val="28"/>
          <w:highlight w:val="none"/>
          <w:lang w:val="en-US" w:eastAsia="zh-CN"/>
        </w:rPr>
      </w:pPr>
      <w:r>
        <w:rPr>
          <w:rFonts w:hint="default" w:ascii="仿宋" w:hAnsi="仿宋" w:eastAsia="仿宋" w:cs="仿宋"/>
          <w:bCs/>
          <w:sz w:val="28"/>
          <w:szCs w:val="28"/>
          <w:highlight w:val="none"/>
          <w:lang w:val="en-US" w:eastAsia="zh-CN"/>
        </w:rPr>
        <w:t>为贯彻落实《国家卫生健康委员会 国家中医药管理局关于印发公立医院高质量发展促进行动（2021—2025年）的通知》（国卫医发〔2021〕27号），巩固</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进一步改善医疗服务行动计划</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成果，四川省卫生健康委和四川省中医药管理局联合印发《四川省公立医院高质量发展促进行动（2022—2025年）》。</w:t>
      </w:r>
    </w:p>
    <w:p w14:paraId="28C679C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bCs/>
          <w:sz w:val="28"/>
          <w:szCs w:val="28"/>
          <w:highlight w:val="none"/>
          <w:lang w:val="en-US" w:eastAsia="zh-CN"/>
        </w:rPr>
      </w:pPr>
      <w:r>
        <w:rPr>
          <w:rFonts w:hint="default" w:ascii="仿宋" w:hAnsi="仿宋" w:eastAsia="仿宋" w:cs="仿宋"/>
          <w:bCs/>
          <w:sz w:val="28"/>
          <w:szCs w:val="28"/>
          <w:highlight w:val="none"/>
          <w:lang w:val="en-US" w:eastAsia="zh-CN"/>
        </w:rPr>
        <w:t>根据四川省公立医院发展政策规划，</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十四五</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时期，主要开展四项重点建设行动和四项能力提升行动。</w:t>
      </w:r>
    </w:p>
    <w:p w14:paraId="44AE705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Cs/>
          <w:sz w:val="28"/>
          <w:szCs w:val="28"/>
          <w:highlight w:val="none"/>
          <w:lang w:val="en-US" w:eastAsia="zh-CN"/>
        </w:rPr>
      </w:pPr>
      <w:r>
        <w:rPr>
          <w:rFonts w:hint="default" w:ascii="仿宋" w:hAnsi="仿宋" w:eastAsia="仿宋" w:cs="仿宋"/>
          <w:bCs/>
          <w:sz w:val="28"/>
          <w:szCs w:val="28"/>
          <w:highlight w:val="none"/>
          <w:lang w:val="en-US" w:eastAsia="zh-CN"/>
        </w:rPr>
        <w:t>四项重点建设行动包括：一是建设高水平公立医院网络。依托中央在川和省内高水平医院，争创国家医学中心和国家区域医疗中心，规划建设省医学中心和省区域医疗中心，持续推进县医院综合能力提升工程，规划建设400个县域医疗卫生次中心，加快高水平中医医院建设。到2025年，形成国家医学中心和区域医疗中心为引领，省医学中心和区域医疗中心为骨干，高水平市（州）级和县（市、区）级医院为支点，紧密型城市医疗集团和县域医共体为载体的高水平公立医院网络。二是建设临床重点专科群。以满足重大疾病临床诊疗需求为导向，全面启动我省临床重点专科</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卓越、精品、支撑、培育</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工程，加强肿瘤、呼吸、消化等临床重点专科建设，着力打造国家、省、市、县四级专科体系。到2025年，全省争创国家临床重点专科70个，建设省级临床重点专科300个、市级临床重点专科500个、县级临床重点专科1000个，区域专科医疗服务同质化水平显著提升。三是建设高质量人才队伍。健全人才培养培训体系，深化医教协同改革，落实</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两个同等对待</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政策，推广</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互联网+继续医学教育</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加强高层次人才引进培养。大力实施四川卫生健康英才培养计划，遴选培养一批首席专家、领军人才、中青年拔尖人才和临床技能名师。探索高层次复合型公共卫生人才培养机制。健全公立医院薪酬考核分配制度，完善保护关心爱护医务人员长效机制。到2025年，基本建成支持公立医院高质量发展的专业技术和医院管理人才队伍。四是建设</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三位一体</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智慧医院。将信息化作为医院基本建设的优先领域，建设电子病历、智慧服务、智慧管理</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三位一体</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的智慧医院信息系统。实施电子病历系统应用水平提升工程，推动5G、云计算、大数据等新兴信息技术在医疗领域的融合应用，力争建立覆盖所有县（市、区）的</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5G+医疗健康</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远程应用体系，优化完善医疗</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三监管</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及</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四川智慧卫监</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平台。到2025年，力争60%的三级公立医疗机构建成三星级及以上智慧医院、20%的二级公立医疗机构建成二星级及以上智慧医院，市级及以上综合医院电子病历系统应用水平分级评价达到5级以上水平，县级公立综合医院达到4级水平。</w:t>
      </w:r>
    </w:p>
    <w:p w14:paraId="4266839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（2）省级层面</w:t>
      </w:r>
    </w:p>
    <w:p w14:paraId="377CD5A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Cs/>
          <w:sz w:val="28"/>
          <w:szCs w:val="28"/>
          <w:highlight w:val="none"/>
          <w:lang w:val="en-US" w:eastAsia="zh-CN"/>
        </w:rPr>
      </w:pPr>
      <w:r>
        <w:rPr>
          <w:rFonts w:hint="default" w:ascii="仿宋" w:hAnsi="仿宋" w:eastAsia="仿宋" w:cs="仿宋"/>
          <w:bCs/>
          <w:sz w:val="28"/>
          <w:szCs w:val="28"/>
          <w:highlight w:val="none"/>
          <w:lang w:val="en-US" w:eastAsia="zh-CN"/>
        </w:rPr>
        <w:t>《四川省</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十四五</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卫生健康发展规划（2021-2025）》，《规划》明确指出：积极发展前沿医疗服务；建立细胞产业公共技术服务平台，加快推进细胞治疗产品规范化生产及质量评价的转化研究，推动细胞产业标准化、规范化发展，实现细胞治疗、免疫治疗领域重点突破。支持基因测序、再生医学、生物医学大数据分析等精准医疗产业公共服务平台建设，打通基础研究到临床应用技术链，培育一批精准诊疗服务企业。深入推进新技术在医疗卫生行业的融合应用。鼓励发展特种机器人、智能医疗看护等智能制造，鼓励开发基于虚拟现实、增强现实技术的临床辅助、康复训练设备以及智能健康设备，推动在线医疗、</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互联网+药品流通</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等健康产业新业态、新模式发展。构建健康医疗大数据产业链，推动健康医疗与养老、金融、体育、旅游、环境、健康饮食等产业融合发展。</w:t>
      </w:r>
    </w:p>
    <w:p w14:paraId="154D190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（3）市（州）县级层面</w:t>
      </w:r>
    </w:p>
    <w:p w14:paraId="0A80A4E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bCs/>
          <w:sz w:val="28"/>
          <w:szCs w:val="28"/>
          <w:highlight w:val="none"/>
          <w:lang w:val="en-US" w:eastAsia="zh-CN"/>
        </w:rPr>
      </w:pPr>
      <w:r>
        <w:rPr>
          <w:rFonts w:hint="default" w:ascii="仿宋" w:hAnsi="仿宋" w:eastAsia="仿宋" w:cs="仿宋"/>
          <w:bCs/>
          <w:sz w:val="28"/>
          <w:szCs w:val="28"/>
          <w:highlight w:val="none"/>
          <w:lang w:val="en-US" w:eastAsia="zh-CN"/>
        </w:rPr>
        <w:t>凉山州政策及背景，根据《凉山州</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十四五</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卫生健康发展规划》指出：坚持以习近平新时代中国特色社会主义思想为指导，深入贯彻习近平总书记视察重要讲话精神和党的十九届六中全会、省委十一届十次全会、州第九次党代会精神，坚持党对我州卫生健康事业的全面领导，充分发挥党把方向、谋大局、定政策、促改革的能力和定力，大力提升全州各级党组织领导高质量发展的能力和水平。紧扣州第九次党代会提出的做强</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一核一谷三带</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、构建</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四大产业体系</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、实现</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四新</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目标的战略部署。</w:t>
      </w:r>
    </w:p>
    <w:p w14:paraId="0920714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bCs/>
          <w:sz w:val="28"/>
          <w:szCs w:val="28"/>
          <w:highlight w:val="none"/>
          <w:lang w:val="en-US" w:eastAsia="zh-CN"/>
        </w:rPr>
      </w:pPr>
      <w:r>
        <w:rPr>
          <w:rFonts w:hint="default" w:ascii="仿宋" w:hAnsi="仿宋" w:eastAsia="仿宋" w:cs="仿宋"/>
          <w:bCs/>
          <w:sz w:val="28"/>
          <w:szCs w:val="28"/>
          <w:highlight w:val="none"/>
          <w:lang w:val="en-US" w:eastAsia="zh-CN"/>
        </w:rPr>
        <w:t>聚焦全省</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1+5</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区域医疗中心和</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1+6</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重大疫情防治基地功能定位，从健全完善公共卫生、建设优质医疗、强化基层卫生、完善中医药、老年健康、健康服务业、卫生健康信息、卫生健康法治等领域，规划了州一医院新区、州二医院新区、州妇女儿童医院、</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1+8+8</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、4个州级区域医疗中心建设、卫生健康乡村振兴</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211</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工程以及医疗机构填平补齐工程等一批重大项目，着力提升医疗服务能力和新冠肺炎等重大疫情救治防控能力。</w:t>
      </w:r>
    </w:p>
    <w:p w14:paraId="015B307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bCs/>
          <w:sz w:val="28"/>
          <w:szCs w:val="28"/>
          <w:highlight w:val="none"/>
          <w:lang w:val="en-US" w:eastAsia="zh-CN"/>
        </w:rPr>
      </w:pPr>
      <w:r>
        <w:rPr>
          <w:rFonts w:hint="default" w:ascii="仿宋" w:hAnsi="仿宋" w:eastAsia="仿宋" w:cs="仿宋"/>
          <w:bCs/>
          <w:sz w:val="28"/>
          <w:szCs w:val="28"/>
          <w:highlight w:val="none"/>
          <w:lang w:val="en-US" w:eastAsia="zh-CN"/>
        </w:rPr>
        <w:t>《规划》积极贯彻新时代卫生健康工作方针，坚持大卫生大健康理念，积极落实国家三孩政策要求，从普及全民健康生活方式、深入开展爱国卫生运动、加强传染病和地方病防治、强化慢性病和精神卫生防治、加强食品安全和营养管理等方面全方位维护人民群众健康，从促进优生优育和托育发展、提升妇幼健康服务水平、促进儿童和青少年健康、加强职业卫生与健康保护、丰富老年健康服务供给、维护残疾人健康等方面全生命周期加强重点人群健康保障。</w:t>
      </w:r>
    </w:p>
    <w:p w14:paraId="336769B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bCs/>
          <w:sz w:val="28"/>
          <w:szCs w:val="28"/>
          <w:highlight w:val="none"/>
          <w:lang w:val="en-US" w:eastAsia="zh-CN"/>
        </w:rPr>
      </w:pPr>
      <w:r>
        <w:rPr>
          <w:rFonts w:hint="default" w:ascii="仿宋" w:hAnsi="仿宋" w:eastAsia="仿宋" w:cs="仿宋"/>
          <w:bCs/>
          <w:sz w:val="28"/>
          <w:szCs w:val="28"/>
          <w:highlight w:val="none"/>
          <w:lang w:val="en-US" w:eastAsia="zh-CN"/>
        </w:rPr>
        <w:t>聚焦打造成渝地区和川滇地区结合部康养旅游度假后花园目标，将安宁河流域医疗卫生集群高质量发展，会理、会东、宁南卫生健康一体化发展，西昌、德昌、冕宁、喜德卫生健康同城化发展纳入整体规划，深入推进医药卫生体制改革、加快数字卫生健康发展步伐、促进中（彝、藏）医传承与创新、推动健康产业融合发展，着力推动医疗服务高质量发展、公立医院高质量发展、医疗产业高质量发展、社会办医高质量发展。</w:t>
      </w:r>
    </w:p>
    <w:p w14:paraId="75EA72B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bCs/>
          <w:sz w:val="28"/>
          <w:szCs w:val="28"/>
          <w:highlight w:val="none"/>
          <w:lang w:val="en-US" w:eastAsia="zh-CN"/>
        </w:rPr>
      </w:pPr>
      <w:r>
        <w:rPr>
          <w:rFonts w:hint="default" w:ascii="仿宋" w:hAnsi="仿宋" w:eastAsia="仿宋" w:cs="仿宋"/>
          <w:bCs/>
          <w:sz w:val="28"/>
          <w:szCs w:val="28"/>
          <w:highlight w:val="none"/>
          <w:lang w:val="en-US" w:eastAsia="zh-CN"/>
        </w:rPr>
        <w:t>宁南县政策及背景，根据《宁南县卫生健康局</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十四五</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工作计划》明确指出，以习近平新时代中国特色社会主义思想和十九届五中全会精神为指导，坚持新时代卫生健康工作方针，牢固树立大卫生、大健康理念，以健康中国战略为统领，坚持以人民健康为中心，从体制机制上创新和完善重大疫情防控举措，改革完善重大疫情防控救治体系，健全应急物资保障、储备体系，提高应对突发重大公共卫生事件的能力和水平。统筹推进医疗保健、公共卫生、健康服务、人才培养、综合监督、智慧医疗、健康大数据等综合改革，构建起与人民群众健康需求相适应的医疗卫生服务体系，不断提高城乡居民健康素养，促进卫生健康事业全面协调可持续发展，为群众提供便捷高效的健康服务。</w:t>
      </w:r>
    </w:p>
    <w:p w14:paraId="01DD65A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bCs/>
          <w:sz w:val="28"/>
          <w:szCs w:val="28"/>
          <w:highlight w:val="none"/>
          <w:lang w:val="en-US" w:eastAsia="zh-CN"/>
        </w:rPr>
      </w:pPr>
      <w:r>
        <w:rPr>
          <w:rFonts w:hint="default" w:ascii="仿宋" w:hAnsi="仿宋" w:eastAsia="仿宋" w:cs="仿宋"/>
          <w:bCs/>
          <w:sz w:val="28"/>
          <w:szCs w:val="28"/>
          <w:highlight w:val="none"/>
          <w:lang w:val="en-US" w:eastAsia="zh-CN"/>
        </w:rPr>
        <w:t>坚持把人民健康放在优先发展的战略地位。坚持</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以基层为重点，以改革创新为动力，预防为主，中西医并重，把健康融入所有政策，人民共建共享</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的卫生与健康工作方针。按照</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健康中国2030</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规划要求。到2025年达到以下目标：</w:t>
      </w:r>
    </w:p>
    <w:p w14:paraId="03999E9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bCs/>
          <w:sz w:val="28"/>
          <w:szCs w:val="28"/>
          <w:highlight w:val="none"/>
          <w:lang w:val="en-US" w:eastAsia="zh-CN"/>
        </w:rPr>
      </w:pPr>
      <w:r>
        <w:rPr>
          <w:rFonts w:hint="default" w:ascii="仿宋" w:hAnsi="仿宋" w:eastAsia="仿宋" w:cs="仿宋"/>
          <w:bCs/>
          <w:sz w:val="28"/>
          <w:szCs w:val="28"/>
          <w:highlight w:val="none"/>
          <w:lang w:val="en-US" w:eastAsia="zh-CN"/>
        </w:rPr>
        <w:t>1）人均期望寿命达到78.2岁。</w:t>
      </w:r>
    </w:p>
    <w:p w14:paraId="46E6C33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bCs/>
          <w:sz w:val="28"/>
          <w:szCs w:val="28"/>
          <w:highlight w:val="none"/>
          <w:lang w:val="en-US" w:eastAsia="zh-CN"/>
        </w:rPr>
      </w:pPr>
      <w:r>
        <w:rPr>
          <w:rFonts w:hint="default" w:ascii="仿宋" w:hAnsi="仿宋" w:eastAsia="仿宋" w:cs="仿宋"/>
          <w:bCs/>
          <w:sz w:val="28"/>
          <w:szCs w:val="28"/>
          <w:highlight w:val="none"/>
          <w:lang w:val="en-US" w:eastAsia="zh-CN"/>
        </w:rPr>
        <w:t>2）孕产妇死亡率控制在28/10万以下，婴儿死亡率控制在5‰以下，5岁以下儿童死亡率控制在8‰以下。</w:t>
      </w:r>
    </w:p>
    <w:p w14:paraId="2C364EC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bCs/>
          <w:sz w:val="28"/>
          <w:szCs w:val="28"/>
          <w:highlight w:val="none"/>
          <w:lang w:val="en-US" w:eastAsia="zh-CN"/>
        </w:rPr>
      </w:pPr>
      <w:r>
        <w:rPr>
          <w:rFonts w:hint="default" w:ascii="仿宋" w:hAnsi="仿宋" w:eastAsia="仿宋" w:cs="仿宋"/>
          <w:bCs/>
          <w:sz w:val="28"/>
          <w:szCs w:val="28"/>
          <w:highlight w:val="none"/>
          <w:lang w:val="en-US" w:eastAsia="zh-CN"/>
        </w:rPr>
        <w:t>3）基本公共卫生服务覆盖城乡居民，社区卫生服务实现城市全覆盖，村卫生室实现行政村全覆盖。</w:t>
      </w:r>
    </w:p>
    <w:p w14:paraId="36FB0D1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bCs/>
          <w:sz w:val="28"/>
          <w:szCs w:val="28"/>
          <w:highlight w:val="none"/>
          <w:lang w:val="en-US" w:eastAsia="zh-CN"/>
        </w:rPr>
      </w:pPr>
      <w:r>
        <w:rPr>
          <w:rFonts w:hint="default" w:ascii="仿宋" w:hAnsi="仿宋" w:eastAsia="仿宋" w:cs="仿宋"/>
          <w:bCs/>
          <w:sz w:val="28"/>
          <w:szCs w:val="28"/>
          <w:highlight w:val="none"/>
          <w:lang w:val="en-US" w:eastAsia="zh-CN"/>
        </w:rPr>
        <w:t>打造</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健康宁南</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全面提升服务能力。提升基本公共卫生服务能力。加强公共卫生监测管理，形成全程全覆盖疾病防控立体化网络；提升重大传染病和突发公共卫生事件应对能力，健全完善县镇村三级联防联控机制。强化医疗机构防控能力建设，实施基本公共卫生服务项目对全县城乡居民健康问题实施干预，减少主要健康危险因素，促进居民健康意识的提高和不良生活方式的改变，逐步树立起自我健康管理的理念。到2025年，全县基本建立统一、科学、规范的居民健康档案管理制度，实现居民健康档案管理信息化，以健康档案为载体，为城乡居民提供连续、综合、适宜、经济的基本医疗卫生服务。提升医疗卫生服务能力。充分发挥县级医院的城镇纽带作用和县域龙头作用。加强县级医院人才、技术、重点专科等核心竞争力建设，提升县级医院法治化、科学化、规范化、精细化、信息化管理水平；推动构建分级诊疗制度，加强专业人才梯队建设，打造专科建设。健全基层医疗卫生服务网络。打造城市15分钟社区卫生服务圈和农村30分钟医疗卫生服务圈。强化乡镇卫生院、社区卫生服务中心基本医疗服务能力建设。实施社区卫生服务提升工程。促进先进适宜技术的普及普惠。加强医疗联合体建设。在县域内加强医疗共同体建设，重点探索以县级医院为龙头、乡镇卫生院为枢纽、村卫生室为基础的县乡一体化管理，与乡村一体化管理有效衔接，构建县镇村三级联动的县域医疗服务体系。提升医疗急救服务能力。加强院前急救和突发公共卫生事件紧急救援的规范管理，统一指挥，高效运行。</w:t>
      </w:r>
    </w:p>
    <w:p w14:paraId="3C373DB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bCs/>
          <w:sz w:val="28"/>
          <w:szCs w:val="28"/>
          <w:highlight w:val="none"/>
          <w:lang w:val="en-US" w:eastAsia="zh-CN"/>
        </w:rPr>
      </w:pPr>
      <w:r>
        <w:rPr>
          <w:rFonts w:hint="default" w:ascii="仿宋" w:hAnsi="仿宋" w:eastAsia="仿宋" w:cs="仿宋"/>
          <w:bCs/>
          <w:sz w:val="28"/>
          <w:szCs w:val="28"/>
          <w:highlight w:val="none"/>
          <w:lang w:val="en-US" w:eastAsia="zh-CN"/>
        </w:rPr>
        <w:t>加快信息平台建设。强化县级医药卫生信息资源整合，逐步实现医疗服务、公共卫生业务、医疗保障和综合管理系统的互联互通、信息共享。加强以电子病历为核心的医院信息平台建设，逐步实现电子病历与电子健康档案相衔接。积极推进远程医疗服务，开展远程医疗系统建设，提升信息化管理水平。</w:t>
      </w:r>
    </w:p>
    <w:p w14:paraId="4F7898C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bCs/>
          <w:sz w:val="28"/>
          <w:szCs w:val="28"/>
          <w:highlight w:val="none"/>
          <w:lang w:val="en-US" w:eastAsia="zh-CN"/>
        </w:rPr>
      </w:pPr>
      <w:r>
        <w:rPr>
          <w:rFonts w:hint="default" w:ascii="仿宋" w:hAnsi="仿宋" w:eastAsia="仿宋" w:cs="仿宋"/>
          <w:bCs/>
          <w:sz w:val="28"/>
          <w:szCs w:val="28"/>
          <w:highlight w:val="none"/>
          <w:lang w:val="en-US" w:eastAsia="zh-CN"/>
        </w:rPr>
        <w:t>加快卫生人才队伍建设。加快协调解决我县卫生专业技术人员不足编制不足问题，分步骤分层次招录卫生专业技术人员，补充现有编制内空编数，同时增加卫生专业技术人员编制。</w:t>
      </w:r>
    </w:p>
    <w:p w14:paraId="59646D6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bCs/>
          <w:sz w:val="28"/>
          <w:szCs w:val="28"/>
          <w:highlight w:val="none"/>
          <w:lang w:val="en-US" w:eastAsia="zh-CN"/>
        </w:rPr>
      </w:pPr>
      <w:r>
        <w:rPr>
          <w:rFonts w:hint="default" w:ascii="仿宋" w:hAnsi="仿宋" w:eastAsia="仿宋" w:cs="仿宋"/>
          <w:bCs/>
          <w:sz w:val="28"/>
          <w:szCs w:val="28"/>
          <w:highlight w:val="none"/>
          <w:lang w:val="en-US" w:eastAsia="zh-CN"/>
        </w:rPr>
        <w:t>持续推进人口监测与家庭发展工作。提倡按政策生育，实现人口长期均衡发展。加强省人口健康云平台系统应用水平，努力提高全县人口统计工作质量。落实好计划生育</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三项制度</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工作，把这项惠民工作做好做实，让群众满意。加强对托育机构的管理和服务，积极推进全县托育事业正常发展。</w:t>
      </w:r>
    </w:p>
    <w:p w14:paraId="7397AC9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bCs/>
          <w:sz w:val="28"/>
          <w:szCs w:val="28"/>
          <w:highlight w:val="none"/>
          <w:lang w:val="en-US" w:eastAsia="zh-CN"/>
        </w:rPr>
      </w:pPr>
      <w:r>
        <w:rPr>
          <w:rFonts w:hint="default" w:ascii="仿宋" w:hAnsi="仿宋" w:eastAsia="仿宋" w:cs="仿宋"/>
          <w:bCs/>
          <w:sz w:val="28"/>
          <w:szCs w:val="28"/>
          <w:highlight w:val="none"/>
          <w:lang w:val="en-US" w:eastAsia="zh-CN"/>
        </w:rPr>
        <w:t>深入推进艾滋病防治工作。规范、有效地开展综合服务，使艾滋病感染者/病人增强治疗意识，提高治疗质量。为艾滋病病毒感染者和病人提供治疗、关怀和支持服务，降低病死率，减少传播，延长生命，提高生存质量。落实育龄妇女的孕情</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早发现</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，促进HIV感染孕产妇早检测、早诊断、早干预，为感染孕产妇及所生儿童提供及时、全程、规范的预防母婴传播服务，争取尽早在儿童人群中率先实现</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零艾滋</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。到2025年，新发感染持续明显下降，基本消除母婴传播。</w:t>
      </w:r>
    </w:p>
    <w:p w14:paraId="4A63095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bCs/>
          <w:sz w:val="28"/>
          <w:szCs w:val="28"/>
          <w:highlight w:val="none"/>
          <w:lang w:val="en-US" w:eastAsia="zh-CN"/>
        </w:rPr>
      </w:pPr>
      <w:r>
        <w:rPr>
          <w:rFonts w:hint="default" w:ascii="仿宋" w:hAnsi="仿宋" w:eastAsia="仿宋" w:cs="仿宋"/>
          <w:bCs/>
          <w:sz w:val="28"/>
          <w:szCs w:val="28"/>
          <w:highlight w:val="none"/>
          <w:lang w:val="en-US" w:eastAsia="zh-CN"/>
        </w:rPr>
        <w:t>推进卫生监督体系建设。以加强卫生监督全覆盖为重点，逐步建立职责明确、行为规范、执法有力、办事高效的卫生监督体系。实现综合卫生监督覆盖率达到100%。完善以县卫生监督执法大队为中心，以农村卫生协管监督为基础的反应敏捷、监督有力、职责分明、城乡联动的卫生监督执法新体系。进一步加强卫生监督队伍建设，力争在</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十四五</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期间配置卫生监督人员20人以上。</w:t>
      </w:r>
    </w:p>
    <w:p w14:paraId="6FED62A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default" w:ascii="仿宋" w:hAnsi="仿宋" w:eastAsia="仿宋" w:cs="仿宋"/>
          <w:b w:val="0"/>
          <w:bCs w:val="0"/>
          <w:caps/>
          <w:color w:val="FF0000"/>
          <w:kern w:val="2"/>
          <w:sz w:val="28"/>
          <w:szCs w:val="28"/>
          <w:lang w:val="en-US" w:eastAsia="zh-CN" w:bidi="ar-SA"/>
        </w:rPr>
      </w:pPr>
      <w:r>
        <w:rPr>
          <w:rFonts w:hint="default" w:ascii="仿宋" w:hAnsi="仿宋" w:eastAsia="仿宋" w:cs="仿宋"/>
          <w:bCs/>
          <w:sz w:val="28"/>
          <w:szCs w:val="28"/>
          <w:highlight w:val="none"/>
          <w:lang w:val="en-US" w:eastAsia="zh-CN"/>
        </w:rPr>
        <w:t>全面加强系统自身建设。坚持把党的建设摆在首位，全面落实新时代党的建设总要求，开展经常性政治教育，教育引导卫生健康系统全体党员干部自觉树牢</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四个意识</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、坚定</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四个自信</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、做到</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两个维护</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，持续推进</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一亮二抓三推进</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党建服务保障中心工作思路，全面推进系统党的建设。深入推进党风廉政建设。坚持严守政治纪律，抓细作风建设，通过开展警示教育、廉政提醒谈话、自查自纠等活动，增强干部职工纪律规矩意识，增强风险识别和防控意识，持续推动卫生健康行业行风健康发展，形成行业风清气正、崇廉尚实、干事创业的良好生态</w:t>
      </w:r>
      <w:r>
        <w:rPr>
          <w:rFonts w:hint="default" w:ascii="仿宋" w:hAnsi="仿宋" w:eastAsia="仿宋" w:cs="仿宋"/>
          <w:b w:val="0"/>
          <w:bCs w:val="0"/>
          <w:caps/>
          <w:color w:val="auto"/>
          <w:kern w:val="2"/>
          <w:sz w:val="28"/>
          <w:szCs w:val="28"/>
          <w:lang w:val="en-US" w:eastAsia="zh-CN" w:bidi="ar-SA"/>
        </w:rPr>
        <w:t>。</w:t>
      </w:r>
    </w:p>
    <w:p w14:paraId="2D60916C">
      <w:pPr>
        <w:keepNext w:val="0"/>
        <w:keepLines w:val="0"/>
        <w:pageBreakBefore w:val="0"/>
        <w:widowControl w:val="0"/>
        <w:suppressLineNumbers w:val="0"/>
        <w:kinsoku/>
        <w:wordWrap/>
        <w:overflowPunct/>
        <w:topLinePunct w:val="0"/>
        <w:autoSpaceDE/>
        <w:autoSpaceDN/>
        <w:bidi w:val="0"/>
        <w:adjustRightInd/>
        <w:snapToGrid/>
        <w:spacing w:beforeLines="50" w:after="0" w:afterLines="50" w:afterAutospacing="0" w:line="360" w:lineRule="auto"/>
        <w:ind w:firstLine="0" w:firstLineChars="0"/>
        <w:jc w:val="both"/>
        <w:textAlignment w:val="auto"/>
        <w:outlineLvl w:val="1"/>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（二）项目情况</w:t>
      </w:r>
      <w:bookmarkEnd w:id="15"/>
      <w:bookmarkEnd w:id="16"/>
      <w:bookmarkEnd w:id="17"/>
      <w:bookmarkEnd w:id="18"/>
      <w:bookmarkEnd w:id="19"/>
      <w:bookmarkEnd w:id="20"/>
      <w:bookmarkEnd w:id="21"/>
      <w:bookmarkEnd w:id="22"/>
    </w:p>
    <w:p w14:paraId="71837A4A">
      <w:pPr>
        <w:pStyle w:val="2"/>
        <w:outlineLvl w:val="2"/>
        <w:rPr>
          <w:rFonts w:hint="eastAsia" w:ascii="仿宋" w:hAnsi="仿宋" w:eastAsia="仿宋" w:cs="仿宋"/>
          <w:b/>
          <w:bCs/>
          <w:color w:val="auto"/>
          <w:sz w:val="32"/>
          <w:szCs w:val="32"/>
          <w:lang w:val="en-US" w:eastAsia="zh-CN"/>
        </w:rPr>
      </w:pPr>
      <w:bookmarkStart w:id="34" w:name="_Toc11692"/>
      <w:bookmarkStart w:id="35" w:name="_Toc7914"/>
      <w:bookmarkStart w:id="36" w:name="_Toc21872"/>
      <w:bookmarkStart w:id="37" w:name="_Toc9265"/>
      <w:bookmarkStart w:id="38" w:name="_Toc1064"/>
      <w:bookmarkStart w:id="39" w:name="_Toc23988"/>
      <w:bookmarkStart w:id="40" w:name="_Toc14119"/>
      <w:bookmarkStart w:id="41" w:name="_Toc6078"/>
      <w:r>
        <w:rPr>
          <w:rFonts w:hint="eastAsia" w:ascii="仿宋" w:hAnsi="仿宋" w:eastAsia="仿宋" w:cs="仿宋"/>
          <w:b/>
          <w:bCs/>
          <w:color w:val="auto"/>
          <w:sz w:val="32"/>
          <w:szCs w:val="32"/>
          <w:lang w:val="en-US" w:eastAsia="zh-CN"/>
        </w:rPr>
        <w:t>1.参与主体</w:t>
      </w:r>
      <w:bookmarkEnd w:id="34"/>
      <w:bookmarkEnd w:id="35"/>
      <w:bookmarkEnd w:id="36"/>
      <w:bookmarkEnd w:id="37"/>
      <w:bookmarkEnd w:id="38"/>
      <w:bookmarkEnd w:id="39"/>
      <w:bookmarkEnd w:id="40"/>
      <w:bookmarkEnd w:id="41"/>
    </w:p>
    <w:p w14:paraId="7E2967F2">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outlineLvl w:val="9"/>
        <w:rPr>
          <w:rFonts w:hint="default" w:ascii="仿宋" w:hAnsi="仿宋" w:eastAsia="仿宋" w:cs="仿宋"/>
          <w:b w:val="0"/>
          <w:bCs w:val="0"/>
          <w:caps/>
          <w:color w:val="auto"/>
          <w:kern w:val="2"/>
          <w:sz w:val="28"/>
          <w:szCs w:val="28"/>
          <w:lang w:val="en-US" w:eastAsia="zh-CN" w:bidi="ar-SA"/>
        </w:rPr>
      </w:pPr>
      <w:r>
        <w:rPr>
          <w:rFonts w:hint="eastAsia" w:ascii="仿宋" w:hAnsi="仿宋" w:eastAsia="仿宋" w:cs="仿宋"/>
          <w:b w:val="0"/>
          <w:bCs w:val="0"/>
          <w:caps/>
          <w:color w:val="auto"/>
          <w:kern w:val="2"/>
          <w:sz w:val="28"/>
          <w:szCs w:val="28"/>
          <w:lang w:val="en-US" w:eastAsia="zh-CN" w:bidi="ar-SA"/>
        </w:rPr>
        <w:t>实施机构：</w:t>
      </w:r>
      <w:r>
        <w:rPr>
          <w:rFonts w:hint="eastAsia" w:ascii="仿宋" w:hAnsi="仿宋" w:eastAsia="仿宋" w:cs="仿宋"/>
          <w:color w:val="auto"/>
          <w:sz w:val="28"/>
          <w:szCs w:val="28"/>
          <w:lang w:eastAsia="zh-CN"/>
        </w:rPr>
        <w:t>宁南县卫生健康局</w:t>
      </w:r>
    </w:p>
    <w:p w14:paraId="5F52C3AF">
      <w:pPr>
        <w:ind w:firstLine="560" w:firstLineChars="200"/>
        <w:outlineLvl w:val="9"/>
        <w:rPr>
          <w:rFonts w:hint="eastAsia" w:ascii="Times New Roman" w:hAnsi="Times New Roman" w:eastAsia="仿宋" w:cs="Times New Roman"/>
          <w:b w:val="0"/>
          <w:bCs/>
          <w:color w:val="FF0000"/>
          <w:kern w:val="2"/>
          <w:sz w:val="28"/>
          <w:szCs w:val="28"/>
          <w:highlight w:val="none"/>
          <w:lang w:val="en-US" w:eastAsia="zh-CN"/>
        </w:rPr>
      </w:pPr>
      <w:r>
        <w:rPr>
          <w:rFonts w:hint="eastAsia" w:ascii="仿宋" w:hAnsi="仿宋" w:eastAsia="仿宋" w:cs="仿宋"/>
          <w:b w:val="0"/>
          <w:bCs w:val="0"/>
          <w:caps/>
          <w:color w:val="auto"/>
          <w:kern w:val="2"/>
          <w:sz w:val="28"/>
          <w:szCs w:val="28"/>
          <w:highlight w:val="none"/>
          <w:lang w:val="en-US" w:eastAsia="zh-CN" w:bidi="ar-SA"/>
        </w:rPr>
        <w:t>业主单位：</w:t>
      </w:r>
      <w:r>
        <w:rPr>
          <w:rFonts w:hint="eastAsia" w:ascii="仿宋" w:hAnsi="仿宋" w:eastAsia="仿宋" w:cs="仿宋"/>
          <w:color w:val="auto"/>
          <w:sz w:val="28"/>
          <w:szCs w:val="28"/>
          <w:lang w:eastAsia="zh-CN"/>
        </w:rPr>
        <w:t>宁南县中医医院</w:t>
      </w:r>
    </w:p>
    <w:p w14:paraId="7A7EB093">
      <w:pPr>
        <w:pageBreakBefore w:val="0"/>
        <w:numPr>
          <w:ilvl w:val="2"/>
          <w:numId w:val="0"/>
        </w:numPr>
        <w:tabs>
          <w:tab w:val="left" w:pos="0"/>
        </w:tabs>
        <w:kinsoku/>
        <w:wordWrap/>
        <w:overflowPunct/>
        <w:topLinePunct w:val="0"/>
        <w:bidi w:val="0"/>
        <w:spacing w:before="381" w:after="190" w:line="360" w:lineRule="auto"/>
        <w:ind w:firstLine="643" w:firstLineChars="200"/>
        <w:outlineLvl w:val="2"/>
        <w:rPr>
          <w:rFonts w:hint="eastAsia" w:ascii="仿宋" w:hAnsi="仿宋" w:eastAsia="仿宋" w:cs="仿宋"/>
          <w:b/>
          <w:bCs/>
          <w:color w:val="auto"/>
          <w:kern w:val="0"/>
          <w:sz w:val="32"/>
          <w:szCs w:val="32"/>
          <w:highlight w:val="none"/>
          <w:lang w:val="en-US" w:eastAsia="zh-CN" w:bidi="ar-SA"/>
        </w:rPr>
      </w:pPr>
      <w:bookmarkStart w:id="42" w:name="_Toc16934"/>
      <w:bookmarkStart w:id="43" w:name="_Toc6630"/>
      <w:bookmarkStart w:id="44" w:name="_Toc9122"/>
      <w:bookmarkStart w:id="45" w:name="_Toc14972"/>
      <w:bookmarkStart w:id="46" w:name="_Toc5326"/>
      <w:bookmarkStart w:id="47" w:name="_Toc10923"/>
      <w:bookmarkStart w:id="48" w:name="_Toc22356"/>
      <w:bookmarkStart w:id="49" w:name="_Toc4294"/>
      <w:bookmarkStart w:id="50" w:name="_Toc30046"/>
      <w:r>
        <w:rPr>
          <w:rFonts w:hint="eastAsia" w:ascii="仿宋" w:hAnsi="仿宋" w:eastAsia="仿宋" w:cs="仿宋"/>
          <w:b/>
          <w:bCs/>
          <w:color w:val="auto"/>
          <w:kern w:val="0"/>
          <w:sz w:val="32"/>
          <w:szCs w:val="32"/>
          <w:highlight w:val="none"/>
          <w:lang w:val="en-US" w:eastAsia="zh-CN" w:bidi="ar-SA"/>
        </w:rPr>
        <w:t>2.项目概况</w:t>
      </w:r>
      <w:bookmarkEnd w:id="42"/>
      <w:bookmarkEnd w:id="43"/>
      <w:bookmarkEnd w:id="44"/>
      <w:bookmarkEnd w:id="45"/>
      <w:bookmarkEnd w:id="46"/>
      <w:bookmarkEnd w:id="47"/>
      <w:bookmarkEnd w:id="48"/>
      <w:bookmarkEnd w:id="49"/>
      <w:bookmarkEnd w:id="50"/>
    </w:p>
    <w:p w14:paraId="046D37E4">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outlineLvl w:val="9"/>
        <w:rPr>
          <w:rFonts w:hint="eastAsia" w:ascii="仿宋" w:hAnsi="仿宋" w:eastAsia="仿宋" w:cs="仿宋"/>
          <w:b w:val="0"/>
          <w:bCs w:val="0"/>
          <w:caps/>
          <w:color w:val="auto"/>
          <w:kern w:val="2"/>
          <w:sz w:val="28"/>
          <w:szCs w:val="28"/>
          <w:lang w:val="en-US" w:eastAsia="zh-CN" w:bidi="ar-SA"/>
        </w:rPr>
      </w:pPr>
      <w:r>
        <w:rPr>
          <w:rFonts w:hint="eastAsia" w:ascii="仿宋" w:hAnsi="仿宋" w:eastAsia="仿宋" w:cs="仿宋"/>
          <w:b w:val="0"/>
          <w:bCs w:val="0"/>
          <w:caps/>
          <w:color w:val="auto"/>
          <w:kern w:val="2"/>
          <w:sz w:val="28"/>
          <w:szCs w:val="28"/>
          <w:lang w:val="en-US" w:eastAsia="zh-CN" w:bidi="ar-SA"/>
        </w:rPr>
        <w:t>项目名称：宁南县中医医院综合能力提升建设项目</w:t>
      </w:r>
    </w:p>
    <w:p w14:paraId="4C4D6C6A">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outlineLvl w:val="9"/>
        <w:rPr>
          <w:rFonts w:hint="eastAsia" w:ascii="仿宋" w:hAnsi="仿宋" w:eastAsia="仿宋" w:cs="仿宋"/>
          <w:b w:val="0"/>
          <w:bCs w:val="0"/>
          <w:caps/>
          <w:color w:val="FF0000"/>
          <w:kern w:val="2"/>
          <w:sz w:val="28"/>
          <w:szCs w:val="28"/>
          <w:lang w:val="en-US" w:eastAsia="zh-CN" w:bidi="ar-SA"/>
        </w:rPr>
      </w:pPr>
      <w:r>
        <w:rPr>
          <w:rFonts w:hint="eastAsia" w:ascii="仿宋" w:hAnsi="仿宋" w:eastAsia="仿宋" w:cs="仿宋"/>
          <w:b w:val="0"/>
          <w:bCs w:val="0"/>
          <w:caps/>
          <w:color w:val="auto"/>
          <w:kern w:val="2"/>
          <w:sz w:val="28"/>
          <w:szCs w:val="28"/>
          <w:lang w:val="en-US" w:eastAsia="zh-CN" w:bidi="ar-SA"/>
        </w:rPr>
        <w:t>项目所属领域：</w:t>
      </w:r>
      <w:r>
        <w:rPr>
          <w:rFonts w:hint="eastAsia" w:ascii="仿宋" w:hAnsi="仿宋" w:eastAsia="仿宋" w:cs="仿宋"/>
          <w:color w:val="auto"/>
          <w:sz w:val="28"/>
          <w:szCs w:val="28"/>
        </w:rPr>
        <w:t>社会事业－卫生健康</w:t>
      </w:r>
    </w:p>
    <w:p w14:paraId="215CDB04">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outlineLvl w:val="9"/>
        <w:rPr>
          <w:rFonts w:hint="eastAsia" w:ascii="仿宋" w:hAnsi="仿宋" w:eastAsia="仿宋" w:cs="仿宋"/>
          <w:b w:val="0"/>
          <w:bCs w:val="0"/>
          <w:caps/>
          <w:color w:val="auto"/>
          <w:kern w:val="2"/>
          <w:sz w:val="28"/>
          <w:szCs w:val="28"/>
          <w:lang w:val="en-US" w:eastAsia="zh-CN" w:bidi="ar-SA"/>
        </w:rPr>
      </w:pPr>
      <w:r>
        <w:rPr>
          <w:rFonts w:hint="eastAsia" w:ascii="仿宋" w:hAnsi="仿宋" w:eastAsia="仿宋" w:cs="仿宋"/>
          <w:b w:val="0"/>
          <w:bCs w:val="0"/>
          <w:caps/>
          <w:color w:val="auto"/>
          <w:kern w:val="2"/>
          <w:sz w:val="28"/>
          <w:szCs w:val="28"/>
          <w:lang w:val="en-US" w:eastAsia="zh-CN" w:bidi="ar-SA"/>
        </w:rPr>
        <w:t>项目建设工期：24个月</w:t>
      </w:r>
    </w:p>
    <w:p w14:paraId="6ACCE594">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outlineLvl w:val="9"/>
        <w:rPr>
          <w:rFonts w:hint="default" w:ascii="仿宋" w:hAnsi="仿宋" w:eastAsia="仿宋" w:cs="仿宋"/>
          <w:b w:val="0"/>
          <w:bCs w:val="0"/>
          <w:caps/>
          <w:color w:val="FF0000"/>
          <w:kern w:val="2"/>
          <w:sz w:val="28"/>
          <w:szCs w:val="28"/>
          <w:lang w:val="en-US" w:eastAsia="zh-CN" w:bidi="ar-SA"/>
        </w:rPr>
      </w:pPr>
      <w:r>
        <w:rPr>
          <w:rFonts w:hint="eastAsia" w:ascii="仿宋" w:hAnsi="仿宋" w:eastAsia="仿宋" w:cs="仿宋"/>
          <w:b w:val="0"/>
          <w:bCs w:val="0"/>
          <w:caps/>
          <w:color w:val="auto"/>
          <w:kern w:val="2"/>
          <w:sz w:val="28"/>
          <w:szCs w:val="28"/>
          <w:lang w:val="en-US" w:eastAsia="zh-CN" w:bidi="ar-SA"/>
        </w:rPr>
        <w:t>项目区位：宁南县宁远镇水碾西路8号</w:t>
      </w:r>
    </w:p>
    <w:p w14:paraId="65B2B9B8">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outlineLvl w:val="9"/>
        <w:rPr>
          <w:rFonts w:hint="eastAsia"/>
          <w:color w:val="auto"/>
        </w:rPr>
      </w:pPr>
      <w:r>
        <w:rPr>
          <w:rFonts w:hint="eastAsia" w:ascii="仿宋" w:hAnsi="仿宋" w:eastAsia="仿宋" w:cs="仿宋"/>
          <w:b w:val="0"/>
          <w:bCs w:val="0"/>
          <w:caps/>
          <w:color w:val="auto"/>
          <w:kern w:val="2"/>
          <w:sz w:val="28"/>
          <w:szCs w:val="28"/>
          <w:lang w:val="en-US" w:eastAsia="zh-CN" w:bidi="ar-SA"/>
        </w:rPr>
        <w:t>项目说明：本项目为新建，资产无抵押或质押情况</w:t>
      </w:r>
    </w:p>
    <w:p w14:paraId="542B9CD2">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eastAsia" w:ascii="仿宋" w:hAnsi="仿宋" w:eastAsia="仿宋" w:cs="仿宋"/>
          <w:b w:val="0"/>
          <w:bCs w:val="0"/>
          <w:caps/>
          <w:color w:val="auto"/>
          <w:kern w:val="2"/>
          <w:sz w:val="28"/>
          <w:szCs w:val="28"/>
          <w:lang w:val="en-US" w:eastAsia="zh-CN" w:bidi="ar-SA"/>
        </w:rPr>
      </w:pPr>
      <w:r>
        <w:rPr>
          <w:rFonts w:hint="eastAsia" w:ascii="仿宋" w:hAnsi="仿宋" w:eastAsia="仿宋" w:cs="仿宋"/>
          <w:b w:val="0"/>
          <w:bCs w:val="0"/>
          <w:caps/>
          <w:color w:val="auto"/>
          <w:kern w:val="2"/>
          <w:sz w:val="28"/>
          <w:szCs w:val="28"/>
          <w:lang w:val="en-US" w:eastAsia="zh-CN" w:bidi="ar-SA"/>
        </w:rPr>
        <w:t>建设内容：</w:t>
      </w:r>
      <w:bookmarkEnd w:id="23"/>
      <w:bookmarkStart w:id="51" w:name="_Toc522211065"/>
      <w:bookmarkStart w:id="52" w:name="_Toc1403"/>
      <w:bookmarkStart w:id="53" w:name="_Toc533440322"/>
      <w:bookmarkStart w:id="54" w:name="_Toc1720132"/>
      <w:bookmarkStart w:id="55" w:name="_Toc523481534"/>
      <w:r>
        <w:rPr>
          <w:rFonts w:hint="eastAsia" w:ascii="仿宋" w:hAnsi="仿宋" w:eastAsia="仿宋" w:cs="仿宋"/>
          <w:b w:val="0"/>
          <w:bCs w:val="0"/>
          <w:caps/>
          <w:color w:val="auto"/>
          <w:kern w:val="2"/>
          <w:sz w:val="28"/>
          <w:szCs w:val="28"/>
          <w:lang w:val="en-US" w:eastAsia="zh-CN" w:bidi="ar-SA"/>
        </w:rPr>
        <w:t>该项目主要建设内容为新建中医医院辅助业务用房1380平方米，改造ICU及老年病科2400平方米，配套建设住院楼连接天桥等附属设施。新建智慧医院系统一套，购置医疗设施设备。</w:t>
      </w:r>
    </w:p>
    <w:p w14:paraId="44299ADA">
      <w:pPr>
        <w:numPr>
          <w:ilvl w:val="0"/>
          <w:numId w:val="0"/>
        </w:numPr>
        <w:spacing w:beforeLines="50" w:afterLines="50" w:line="360" w:lineRule="auto"/>
        <w:jc w:val="both"/>
        <w:outlineLvl w:val="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二、经济社会效益分析</w:t>
      </w:r>
      <w:bookmarkEnd w:id="51"/>
      <w:bookmarkEnd w:id="52"/>
      <w:bookmarkEnd w:id="53"/>
      <w:bookmarkEnd w:id="54"/>
      <w:bookmarkEnd w:id="55"/>
    </w:p>
    <w:p w14:paraId="00376C8F">
      <w:pPr>
        <w:pageBreakBefore w:val="0"/>
        <w:widowControl w:val="0"/>
        <w:kinsoku/>
        <w:wordWrap/>
        <w:overflowPunct/>
        <w:topLinePunct w:val="0"/>
        <w:autoSpaceDE/>
        <w:autoSpaceDN/>
        <w:bidi w:val="0"/>
        <w:adjustRightInd/>
        <w:snapToGrid/>
        <w:spacing w:beforeLines="50" w:afterLines="50" w:line="360" w:lineRule="auto"/>
        <w:jc w:val="both"/>
        <w:textAlignment w:val="auto"/>
        <w:outlineLvl w:val="1"/>
        <w:rPr>
          <w:rFonts w:hint="eastAsia" w:ascii="仿宋" w:hAnsi="仿宋" w:eastAsia="仿宋" w:cs="仿宋"/>
          <w:b/>
          <w:bCs/>
          <w:color w:val="auto"/>
          <w:sz w:val="32"/>
          <w:szCs w:val="32"/>
          <w:lang w:val="en-US"/>
        </w:rPr>
      </w:pPr>
      <w:bookmarkStart w:id="56" w:name="_Toc523481535"/>
      <w:bookmarkStart w:id="57" w:name="_Toc533440323"/>
      <w:bookmarkStart w:id="58" w:name="_Toc17794"/>
      <w:bookmarkStart w:id="59" w:name="_Toc522211066"/>
      <w:bookmarkStart w:id="60" w:name="_Toc1720133"/>
      <w:r>
        <w:rPr>
          <w:rFonts w:hint="eastAsia" w:ascii="仿宋" w:hAnsi="仿宋" w:eastAsia="仿宋" w:cs="仿宋"/>
          <w:b/>
          <w:bCs/>
          <w:color w:val="auto"/>
          <w:sz w:val="32"/>
          <w:szCs w:val="32"/>
          <w:lang w:val="en-US"/>
        </w:rPr>
        <w:t>（一）经济效益分析</w:t>
      </w:r>
      <w:bookmarkEnd w:id="56"/>
      <w:bookmarkEnd w:id="57"/>
      <w:bookmarkEnd w:id="58"/>
      <w:bookmarkEnd w:id="59"/>
      <w:bookmarkEnd w:id="60"/>
    </w:p>
    <w:p w14:paraId="4BC8E873">
      <w:pPr>
        <w:pageBreakBefore w:val="0"/>
        <w:widowControl w:val="0"/>
        <w:kinsoku/>
        <w:wordWrap/>
        <w:overflowPunct/>
        <w:topLinePunct w:val="0"/>
        <w:autoSpaceDE/>
        <w:autoSpaceDN/>
        <w:bidi w:val="0"/>
        <w:adjustRightInd/>
        <w:snapToGrid/>
        <w:spacing w:beforeLines="0" w:afterLines="0" w:line="360" w:lineRule="auto"/>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bookmarkStart w:id="61" w:name="_Toc523481538"/>
      <w:bookmarkStart w:id="62" w:name="_Toc533440326"/>
      <w:bookmarkStart w:id="63" w:name="_Toc23271"/>
      <w:bookmarkStart w:id="64" w:name="_Toc523157055"/>
      <w:bookmarkStart w:id="65" w:name="_Toc1720136"/>
      <w:r>
        <w:rPr>
          <w:rFonts w:hint="eastAsia" w:ascii="仿宋" w:hAnsi="仿宋" w:eastAsia="仿宋" w:cs="仿宋"/>
          <w:b w:val="0"/>
          <w:bCs w:val="0"/>
          <w:color w:val="auto"/>
          <w:kern w:val="2"/>
          <w:sz w:val="28"/>
          <w:szCs w:val="28"/>
          <w:lang w:val="en-US" w:eastAsia="zh-CN" w:bidi="ar-SA"/>
        </w:rPr>
        <w:t>宁南县中医医院综合能力提升建设项目实施，将提高宁南县医疗服务水平，完善区域医疗网络体系，健全社会服务能力，促进地方社会经济全面快速发展，提升城市可持续发展能力。</w:t>
      </w:r>
    </w:p>
    <w:p w14:paraId="2187CBE8">
      <w:pPr>
        <w:pageBreakBefore w:val="0"/>
        <w:widowControl w:val="0"/>
        <w:kinsoku/>
        <w:wordWrap/>
        <w:overflowPunct/>
        <w:topLinePunct w:val="0"/>
        <w:autoSpaceDE/>
        <w:autoSpaceDN/>
        <w:bidi w:val="0"/>
        <w:adjustRightInd/>
        <w:snapToGrid/>
        <w:spacing w:beforeLines="0" w:afterLines="0" w:line="360" w:lineRule="auto"/>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1、提高医院综合实力，增强竞争力</w:t>
      </w:r>
    </w:p>
    <w:p w14:paraId="61728703">
      <w:pPr>
        <w:pageBreakBefore w:val="0"/>
        <w:widowControl w:val="0"/>
        <w:kinsoku/>
        <w:wordWrap/>
        <w:overflowPunct/>
        <w:topLinePunct w:val="0"/>
        <w:autoSpaceDE/>
        <w:autoSpaceDN/>
        <w:bidi w:val="0"/>
        <w:adjustRightInd/>
        <w:snapToGrid/>
        <w:spacing w:beforeLines="0" w:afterLines="0" w:line="360" w:lineRule="auto"/>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通过该项目实施，使该区域的医疗综合水平得到大幅度提升。同时，宁南县中医医院的综合竞争力也得到增强，对当地医疗系统的发展做出积极贡献。</w:t>
      </w:r>
    </w:p>
    <w:p w14:paraId="484C6492">
      <w:pPr>
        <w:pageBreakBefore w:val="0"/>
        <w:widowControl w:val="0"/>
        <w:kinsoku/>
        <w:wordWrap/>
        <w:overflowPunct/>
        <w:topLinePunct w:val="0"/>
        <w:autoSpaceDE/>
        <w:autoSpaceDN/>
        <w:bidi w:val="0"/>
        <w:adjustRightInd/>
        <w:snapToGrid/>
        <w:spacing w:beforeLines="0" w:afterLines="0" w:line="360" w:lineRule="auto"/>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2、提高周边地区居民的就医水平和医疗质量</w:t>
      </w:r>
    </w:p>
    <w:p w14:paraId="7C54B372">
      <w:pPr>
        <w:pageBreakBefore w:val="0"/>
        <w:widowControl w:val="0"/>
        <w:kinsoku/>
        <w:wordWrap/>
        <w:overflowPunct/>
        <w:topLinePunct w:val="0"/>
        <w:autoSpaceDE/>
        <w:autoSpaceDN/>
        <w:bidi w:val="0"/>
        <w:adjustRightInd/>
        <w:snapToGrid/>
        <w:spacing w:beforeLines="0" w:afterLines="0" w:line="360" w:lineRule="auto"/>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该项目实施后，能够保证病患遇到病症时得到及时有效的医治</w:t>
      </w:r>
    </w:p>
    <w:p w14:paraId="02A56D1D">
      <w:pPr>
        <w:pageBreakBefore w:val="0"/>
        <w:widowControl w:val="0"/>
        <w:kinsoku/>
        <w:wordWrap/>
        <w:overflowPunct/>
        <w:topLinePunct w:val="0"/>
        <w:autoSpaceDE/>
        <w:autoSpaceDN/>
        <w:bidi w:val="0"/>
        <w:adjustRightInd/>
        <w:snapToGrid/>
        <w:spacing w:beforeLines="0" w:afterLines="0" w:line="360" w:lineRule="auto"/>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3、增加就业渠道</w:t>
      </w:r>
    </w:p>
    <w:p w14:paraId="7236CDCB">
      <w:pPr>
        <w:pageBreakBefore w:val="0"/>
        <w:widowControl w:val="0"/>
        <w:kinsoku/>
        <w:wordWrap/>
        <w:overflowPunct/>
        <w:topLinePunct w:val="0"/>
        <w:autoSpaceDE/>
        <w:autoSpaceDN/>
        <w:bidi w:val="0"/>
        <w:adjustRightInd/>
        <w:snapToGrid/>
        <w:spacing w:beforeLines="0" w:afterLines="0" w:line="360" w:lineRule="auto"/>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项目建成后需要一定数量的护理人员，可直接解决就业问题。</w:t>
      </w:r>
    </w:p>
    <w:p w14:paraId="66DB2B29">
      <w:pPr>
        <w:pageBreakBefore w:val="0"/>
        <w:widowControl w:val="0"/>
        <w:kinsoku/>
        <w:wordWrap/>
        <w:overflowPunct/>
        <w:topLinePunct w:val="0"/>
        <w:autoSpaceDE/>
        <w:autoSpaceDN/>
        <w:bidi w:val="0"/>
        <w:adjustRightInd/>
        <w:snapToGrid/>
        <w:spacing w:beforeLines="50" w:afterLines="50" w:line="360" w:lineRule="auto"/>
        <w:ind w:firstLine="560" w:firstLineChars="200"/>
        <w:jc w:val="both"/>
        <w:textAlignment w:val="auto"/>
        <w:outlineLvl w:val="9"/>
        <w:rPr>
          <w:rFonts w:hint="eastAsia" w:ascii="仿宋" w:hAnsi="仿宋" w:eastAsia="仿宋" w:cs="仿宋"/>
          <w:b w:val="0"/>
          <w:bCs w:val="0"/>
          <w:color w:val="FF0000"/>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本项目建成后，产生的医疗废物、废水须经有资质的专业单位处理，经处理后对周围环境不会产生影响，符合可持续型发展战略</w:t>
      </w:r>
      <w:r>
        <w:rPr>
          <w:rFonts w:hint="eastAsia" w:ascii="仿宋" w:hAnsi="仿宋" w:eastAsia="仿宋" w:cs="仿宋"/>
          <w:b w:val="0"/>
          <w:bCs w:val="0"/>
          <w:color w:val="FF0000"/>
          <w:kern w:val="2"/>
          <w:sz w:val="28"/>
          <w:szCs w:val="28"/>
          <w:lang w:val="en-US" w:eastAsia="zh-CN" w:bidi="ar-SA"/>
        </w:rPr>
        <w:t>。</w:t>
      </w:r>
    </w:p>
    <w:p w14:paraId="374644CD">
      <w:pPr>
        <w:pageBreakBefore w:val="0"/>
        <w:widowControl w:val="0"/>
        <w:kinsoku/>
        <w:wordWrap/>
        <w:overflowPunct/>
        <w:topLinePunct w:val="0"/>
        <w:autoSpaceDE/>
        <w:autoSpaceDN/>
        <w:bidi w:val="0"/>
        <w:adjustRightInd/>
        <w:snapToGrid/>
        <w:spacing w:beforeLines="50" w:afterLines="50" w:line="360" w:lineRule="auto"/>
        <w:jc w:val="both"/>
        <w:textAlignment w:val="auto"/>
        <w:outlineLvl w:val="1"/>
        <w:rPr>
          <w:rFonts w:hint="eastAsia" w:ascii="仿宋" w:hAnsi="仿宋" w:eastAsia="仿宋" w:cs="仿宋"/>
          <w:b/>
          <w:bCs/>
          <w:color w:val="auto"/>
          <w:sz w:val="32"/>
          <w:szCs w:val="32"/>
          <w:lang w:val="en-US"/>
        </w:rPr>
      </w:pPr>
      <w:r>
        <w:rPr>
          <w:rFonts w:hint="eastAsia" w:ascii="仿宋" w:hAnsi="仿宋" w:eastAsia="仿宋" w:cs="仿宋"/>
          <w:b/>
          <w:bCs/>
          <w:color w:val="auto"/>
          <w:sz w:val="32"/>
          <w:szCs w:val="32"/>
          <w:lang w:val="en-US" w:eastAsia="zh-CN"/>
        </w:rPr>
        <w:t>（二）</w:t>
      </w:r>
      <w:r>
        <w:rPr>
          <w:rFonts w:hint="eastAsia" w:ascii="仿宋" w:hAnsi="仿宋" w:eastAsia="仿宋" w:cs="仿宋"/>
          <w:b/>
          <w:bCs/>
          <w:color w:val="auto"/>
          <w:sz w:val="32"/>
          <w:szCs w:val="32"/>
          <w:lang w:val="en-US"/>
        </w:rPr>
        <w:t>社会效益分析</w:t>
      </w:r>
      <w:bookmarkEnd w:id="61"/>
      <w:bookmarkEnd w:id="62"/>
      <w:bookmarkEnd w:id="63"/>
      <w:bookmarkEnd w:id="64"/>
      <w:bookmarkEnd w:id="65"/>
    </w:p>
    <w:p w14:paraId="1D94004D">
      <w:pPr>
        <w:numPr>
          <w:ilvl w:val="-1"/>
          <w:numId w:val="0"/>
        </w:numPr>
        <w:spacing w:beforeLines="0" w:afterLines="0" w:line="360" w:lineRule="auto"/>
        <w:ind w:firstLine="560" w:firstLineChars="200"/>
        <w:jc w:val="both"/>
        <w:outlineLvl w:val="9"/>
        <w:rPr>
          <w:rFonts w:hint="eastAsia" w:ascii="仿宋" w:hAnsi="仿宋" w:eastAsia="仿宋" w:cs="仿宋"/>
          <w:color w:val="auto"/>
          <w:sz w:val="28"/>
          <w:szCs w:val="28"/>
        </w:rPr>
      </w:pPr>
      <w:bookmarkStart w:id="66" w:name="_Toc19320"/>
      <w:r>
        <w:rPr>
          <w:rFonts w:hint="eastAsia" w:ascii="仿宋" w:hAnsi="仿宋" w:eastAsia="仿宋" w:cs="仿宋"/>
          <w:color w:val="auto"/>
          <w:sz w:val="28"/>
          <w:szCs w:val="28"/>
        </w:rPr>
        <w:t>项目的建设将极大缓解医院乃至宁南县医疗服务压力，有利于医疗卫生基础设施的完善，有利于提升地区医疗卫生服务水平。项目建设意义重大，社会效益主要表现在以下几方面：</w:t>
      </w:r>
    </w:p>
    <w:p w14:paraId="31404C9F">
      <w:pPr>
        <w:numPr>
          <w:ilvl w:val="-1"/>
          <w:numId w:val="0"/>
        </w:numPr>
        <w:spacing w:beforeLines="0" w:afterLines="0" w:line="360" w:lineRule="auto"/>
        <w:ind w:firstLine="560" w:firstLineChars="200"/>
        <w:jc w:val="both"/>
        <w:outlineLvl w:val="9"/>
        <w:rPr>
          <w:rFonts w:hint="eastAsia" w:ascii="仿宋" w:hAnsi="仿宋" w:eastAsia="仿宋" w:cs="仿宋"/>
          <w:color w:val="auto"/>
          <w:sz w:val="28"/>
          <w:szCs w:val="28"/>
        </w:rPr>
      </w:pPr>
      <w:r>
        <w:rPr>
          <w:rFonts w:hint="eastAsia" w:ascii="仿宋" w:hAnsi="仿宋" w:eastAsia="仿宋" w:cs="仿宋"/>
          <w:color w:val="auto"/>
          <w:sz w:val="28"/>
          <w:szCs w:val="28"/>
        </w:rPr>
        <w:t>1、项目建设完成投入使用后将有效优化中医院环境设施布局，极大地推动宁南县城医疗卫生事业的发展，实现宁南县城医疗卫生事业与经济社会的协调发展，对构建和谐宁南具有重大意义。</w:t>
      </w:r>
    </w:p>
    <w:p w14:paraId="735BCAB2">
      <w:pPr>
        <w:numPr>
          <w:ilvl w:val="-1"/>
          <w:numId w:val="0"/>
        </w:numPr>
        <w:spacing w:beforeLines="0" w:afterLines="0" w:line="360" w:lineRule="auto"/>
        <w:ind w:firstLine="560" w:firstLineChars="200"/>
        <w:jc w:val="both"/>
        <w:outlineLvl w:val="9"/>
        <w:rPr>
          <w:rFonts w:hint="eastAsia" w:ascii="仿宋" w:hAnsi="仿宋" w:eastAsia="仿宋" w:cs="仿宋"/>
          <w:color w:val="auto"/>
          <w:sz w:val="28"/>
          <w:szCs w:val="28"/>
        </w:rPr>
      </w:pPr>
      <w:r>
        <w:rPr>
          <w:rFonts w:hint="eastAsia" w:ascii="仿宋" w:hAnsi="仿宋" w:eastAsia="仿宋" w:cs="仿宋"/>
          <w:color w:val="auto"/>
          <w:sz w:val="28"/>
          <w:szCs w:val="28"/>
        </w:rPr>
        <w:t>2、项目建设进一步强化了医院医疗、教学、科研、康复和急救的职能，这是解决宁南县城人民群众疾病预防和治疗的关键所在，将会为提高宁南县城人民群众的健康水平做出重大贡献。</w:t>
      </w:r>
    </w:p>
    <w:p w14:paraId="6A78E8C0">
      <w:pPr>
        <w:numPr>
          <w:ilvl w:val="-1"/>
          <w:numId w:val="0"/>
        </w:numPr>
        <w:spacing w:beforeLines="0" w:afterLines="0" w:line="360" w:lineRule="auto"/>
        <w:ind w:firstLine="560" w:firstLineChars="200"/>
        <w:jc w:val="both"/>
        <w:outlineLvl w:val="9"/>
        <w:rPr>
          <w:rFonts w:hint="eastAsia" w:ascii="仿宋" w:hAnsi="仿宋" w:eastAsia="仿宋" w:cs="仿宋"/>
          <w:color w:val="auto"/>
          <w:sz w:val="28"/>
          <w:szCs w:val="28"/>
        </w:rPr>
      </w:pPr>
      <w:r>
        <w:rPr>
          <w:rFonts w:hint="eastAsia" w:ascii="仿宋" w:hAnsi="仿宋" w:eastAsia="仿宋" w:cs="仿宋"/>
          <w:color w:val="auto"/>
          <w:sz w:val="28"/>
          <w:szCs w:val="28"/>
        </w:rPr>
        <w:t>3、项目建成投入使用后，医院医疗基础设施环境大幅改善，服务条件将大大改善，进一步方便群众；将使全院整体医疗技术水平上一个新台阶，转院病人将大幅度减少，既方便群众就医，也可大大减少群众的就医费用。</w:t>
      </w:r>
    </w:p>
    <w:p w14:paraId="693CF5C8">
      <w:pPr>
        <w:numPr>
          <w:ilvl w:val="-1"/>
          <w:numId w:val="0"/>
        </w:numPr>
        <w:spacing w:beforeLines="0" w:afterLines="0" w:line="360" w:lineRule="auto"/>
        <w:ind w:firstLine="560" w:firstLineChars="200"/>
        <w:jc w:val="both"/>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color w:val="auto"/>
          <w:sz w:val="28"/>
          <w:szCs w:val="28"/>
        </w:rPr>
        <w:t>4、项目的建设改善了医院的工作环境，将使广大职工的思想和精神状态焕发出新的活力，工作热情将大大增加，服务态度将大为改善，这都将对医院的发展、人民的身体健康起到保证作用。</w:t>
      </w:r>
    </w:p>
    <w:p w14:paraId="5964965A">
      <w:pPr>
        <w:numPr>
          <w:ilvl w:val="0"/>
          <w:numId w:val="0"/>
        </w:numPr>
        <w:spacing w:beforeLines="50" w:afterLines="50" w:line="360" w:lineRule="auto"/>
        <w:jc w:val="both"/>
        <w:outlineLvl w:val="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三、项目投资估算与资金筹措方案</w:t>
      </w:r>
      <w:bookmarkEnd w:id="66"/>
    </w:p>
    <w:p w14:paraId="6E6F028C">
      <w:pPr>
        <w:spacing w:beforeLines="50" w:afterLines="50" w:line="360" w:lineRule="auto"/>
        <w:outlineLvl w:val="1"/>
        <w:rPr>
          <w:rFonts w:ascii="仿宋" w:hAnsi="仿宋" w:eastAsia="仿宋"/>
          <w:b/>
          <w:bCs/>
          <w:color w:val="auto"/>
          <w:sz w:val="32"/>
          <w:szCs w:val="32"/>
        </w:rPr>
      </w:pPr>
      <w:bookmarkStart w:id="67" w:name="_Toc523481542"/>
      <w:bookmarkStart w:id="68" w:name="_Toc522211078"/>
      <w:bookmarkStart w:id="69" w:name="_Toc523157062"/>
      <w:bookmarkStart w:id="70" w:name="_Toc533440335"/>
      <w:bookmarkStart w:id="71" w:name="_Toc5108"/>
      <w:bookmarkStart w:id="72" w:name="_Toc1720145"/>
      <w:r>
        <w:rPr>
          <w:rFonts w:hint="eastAsia" w:ascii="仿宋" w:hAnsi="仿宋" w:eastAsia="仿宋"/>
          <w:b/>
          <w:bCs/>
          <w:color w:val="auto"/>
          <w:sz w:val="32"/>
          <w:szCs w:val="32"/>
        </w:rPr>
        <w:t>（一）投资估算</w:t>
      </w:r>
      <w:bookmarkEnd w:id="67"/>
      <w:bookmarkEnd w:id="68"/>
      <w:bookmarkEnd w:id="69"/>
      <w:bookmarkEnd w:id="70"/>
      <w:bookmarkEnd w:id="71"/>
      <w:bookmarkEnd w:id="72"/>
    </w:p>
    <w:p w14:paraId="042A5F46">
      <w:pPr>
        <w:spacing w:beforeLines="50" w:afterLines="50" w:line="360" w:lineRule="auto"/>
        <w:ind w:firstLine="560" w:firstLineChars="200"/>
        <w:outlineLvl w:val="9"/>
        <w:rPr>
          <w:rFonts w:hint="default" w:ascii="Times New Roman" w:hAnsi="Times New Roman" w:eastAsia="仿宋" w:cs="Times New Roman"/>
          <w:color w:val="auto"/>
          <w:sz w:val="28"/>
          <w:szCs w:val="28"/>
        </w:rPr>
      </w:pPr>
      <w:bookmarkStart w:id="73" w:name="_Toc23109"/>
      <w:r>
        <w:rPr>
          <w:rFonts w:hint="default" w:ascii="Times New Roman" w:hAnsi="Times New Roman" w:eastAsia="仿宋" w:cs="Times New Roman"/>
          <w:color w:val="auto"/>
          <w:sz w:val="28"/>
          <w:szCs w:val="28"/>
        </w:rPr>
        <w:t>本项目投资总额为</w:t>
      </w:r>
      <w:r>
        <w:rPr>
          <w:rFonts w:hint="default" w:ascii="Times New Roman" w:hAnsi="Times New Roman" w:eastAsia="仿宋" w:cs="Times New Roman"/>
          <w:color w:val="auto"/>
          <w:sz w:val="28"/>
          <w:szCs w:val="28"/>
          <w:lang w:eastAsia="zh-CN"/>
        </w:rPr>
        <w:t>6600.00</w:t>
      </w:r>
      <w:r>
        <w:rPr>
          <w:rFonts w:hint="default" w:ascii="Times New Roman" w:hAnsi="Times New Roman" w:eastAsia="仿宋" w:cs="Times New Roman"/>
          <w:color w:val="auto"/>
          <w:sz w:val="28"/>
          <w:szCs w:val="28"/>
        </w:rPr>
        <w:t>万元，静态总投资为</w:t>
      </w:r>
      <w:r>
        <w:rPr>
          <w:rFonts w:hint="default" w:ascii="Times New Roman" w:hAnsi="Times New Roman" w:eastAsia="仿宋" w:cs="Times New Roman"/>
          <w:color w:val="auto"/>
          <w:sz w:val="28"/>
          <w:szCs w:val="28"/>
          <w:lang w:eastAsia="zh-CN"/>
        </w:rPr>
        <w:t>6348.40</w:t>
      </w:r>
      <w:r>
        <w:rPr>
          <w:rFonts w:hint="default" w:ascii="Times New Roman" w:hAnsi="Times New Roman" w:eastAsia="仿宋" w:cs="Times New Roman"/>
          <w:color w:val="auto"/>
          <w:sz w:val="28"/>
          <w:szCs w:val="28"/>
        </w:rPr>
        <w:t>万元，占项目总投资的</w:t>
      </w:r>
      <w:r>
        <w:rPr>
          <w:rFonts w:hint="default" w:ascii="Times New Roman" w:hAnsi="Times New Roman" w:eastAsia="仿宋" w:cs="Times New Roman"/>
          <w:color w:val="auto"/>
          <w:sz w:val="28"/>
          <w:szCs w:val="28"/>
          <w:lang w:eastAsia="zh-CN"/>
        </w:rPr>
        <w:t>96.19%</w:t>
      </w:r>
      <w:r>
        <w:rPr>
          <w:rFonts w:hint="default" w:ascii="Times New Roman" w:hAnsi="Times New Roman" w:eastAsia="仿宋" w:cs="Times New Roman"/>
          <w:color w:val="auto"/>
          <w:sz w:val="28"/>
          <w:szCs w:val="28"/>
        </w:rPr>
        <w:t>。其中，</w:t>
      </w:r>
      <w:r>
        <w:rPr>
          <w:rFonts w:hint="default" w:ascii="Times New Roman" w:hAnsi="Times New Roman" w:eastAsia="仿宋" w:cs="Times New Roman"/>
          <w:color w:val="auto"/>
          <w:sz w:val="28"/>
          <w:szCs w:val="28"/>
          <w:lang w:val="en-US" w:eastAsia="zh-CN"/>
        </w:rPr>
        <w:t>工程费用5571.65万元，占总投资84.42%；工程建设其他费用为525.88万元，占总投资的7.97%；基本预备费用为250.87万元，占总投资的3.80%；建设期利息费用为246.40万元，占总投资的3.73%；债券发行费用为5.20万元，占总投资的0.08%</w:t>
      </w:r>
      <w:r>
        <w:rPr>
          <w:rFonts w:hint="default" w:ascii="Times New Roman" w:hAnsi="Times New Roman" w:eastAsia="仿宋" w:cs="Times New Roman"/>
          <w:color w:val="auto"/>
          <w:sz w:val="28"/>
          <w:szCs w:val="28"/>
        </w:rPr>
        <w:t>。</w:t>
      </w:r>
    </w:p>
    <w:p w14:paraId="3B27B1A3">
      <w:pPr>
        <w:spacing w:beforeLines="50" w:afterLines="50" w:line="360" w:lineRule="auto"/>
        <w:outlineLvl w:val="1"/>
        <w:rPr>
          <w:rFonts w:hint="eastAsia" w:ascii="仿宋" w:hAnsi="仿宋" w:eastAsia="仿宋"/>
          <w:b/>
          <w:bCs/>
          <w:color w:val="auto"/>
          <w:sz w:val="32"/>
          <w:szCs w:val="32"/>
        </w:rPr>
      </w:pPr>
      <w:r>
        <w:rPr>
          <w:rFonts w:hint="eastAsia" w:ascii="仿宋" w:hAnsi="仿宋" w:eastAsia="仿宋"/>
          <w:b/>
          <w:bCs/>
          <w:color w:val="auto"/>
          <w:sz w:val="32"/>
          <w:szCs w:val="32"/>
        </w:rPr>
        <w:t>（二）资金筹措方案</w:t>
      </w:r>
      <w:bookmarkEnd w:id="73"/>
    </w:p>
    <w:p w14:paraId="41C0D64D">
      <w:pPr>
        <w:numPr>
          <w:ilvl w:val="2"/>
          <w:numId w:val="0"/>
        </w:numPr>
        <w:spacing w:before="240" w:after="120"/>
        <w:ind w:firstLine="643" w:firstLineChars="200"/>
        <w:outlineLvl w:val="2"/>
        <w:rPr>
          <w:rFonts w:hint="eastAsia" w:ascii="仿宋" w:hAnsi="仿宋" w:eastAsia="仿宋"/>
          <w:b/>
          <w:bCs/>
          <w:color w:val="auto"/>
          <w:sz w:val="32"/>
          <w:szCs w:val="32"/>
        </w:rPr>
      </w:pPr>
      <w:bookmarkStart w:id="74" w:name="_Toc523157067"/>
      <w:bookmarkStart w:id="75" w:name="_Toc533440340"/>
      <w:bookmarkStart w:id="76" w:name="_Toc20821"/>
      <w:bookmarkStart w:id="77" w:name="_Toc19703"/>
      <w:bookmarkStart w:id="78" w:name="_Toc1720150"/>
      <w:bookmarkStart w:id="79" w:name="_Toc522211083"/>
      <w:bookmarkStart w:id="80" w:name="_Toc523481547"/>
      <w:r>
        <w:rPr>
          <w:rFonts w:hint="eastAsia" w:ascii="仿宋" w:hAnsi="仿宋" w:eastAsia="仿宋"/>
          <w:b/>
          <w:bCs/>
          <w:color w:val="auto"/>
          <w:sz w:val="32"/>
          <w:szCs w:val="32"/>
        </w:rPr>
        <w:t>1.资金来源</w:t>
      </w:r>
      <w:bookmarkEnd w:id="74"/>
      <w:bookmarkEnd w:id="75"/>
      <w:bookmarkEnd w:id="76"/>
      <w:bookmarkEnd w:id="77"/>
      <w:bookmarkEnd w:id="78"/>
      <w:bookmarkEnd w:id="79"/>
      <w:bookmarkEnd w:id="80"/>
    </w:p>
    <w:p w14:paraId="1A00E446">
      <w:pPr>
        <w:spacing w:beforeLines="50" w:afterLines="50" w:line="360" w:lineRule="auto"/>
        <w:ind w:firstLine="560" w:firstLineChars="200"/>
        <w:jc w:val="both"/>
        <w:outlineLvl w:val="9"/>
        <w:rPr>
          <w:rFonts w:hint="eastAsia" w:ascii="仿宋" w:hAnsi="仿宋" w:eastAsia="仿宋" w:cs="仿宋"/>
          <w:color w:val="auto"/>
          <w:kern w:val="2"/>
          <w:sz w:val="28"/>
          <w:szCs w:val="28"/>
          <w:lang w:val="en-US" w:eastAsia="zh-CN"/>
        </w:rPr>
      </w:pPr>
      <w:r>
        <w:rPr>
          <w:rFonts w:hint="eastAsia" w:ascii="仿宋" w:hAnsi="仿宋" w:eastAsia="仿宋" w:cs="仿宋"/>
          <w:color w:val="auto"/>
          <w:kern w:val="2"/>
          <w:sz w:val="28"/>
          <w:szCs w:val="28"/>
          <w:lang w:val="en-US" w:eastAsia="zh-CN"/>
        </w:rPr>
        <w:t>（1）本项目资本金来源</w:t>
      </w:r>
    </w:p>
    <w:p w14:paraId="44343B3A">
      <w:pPr>
        <w:spacing w:beforeLines="50" w:afterLines="50" w:line="360" w:lineRule="auto"/>
        <w:ind w:firstLine="560" w:firstLineChars="200"/>
        <w:jc w:val="both"/>
        <w:outlineLvl w:val="9"/>
        <w:rPr>
          <w:rFonts w:hint="eastAsia" w:ascii="仿宋" w:hAnsi="仿宋" w:eastAsia="仿宋" w:cs="仿宋"/>
          <w:color w:val="auto"/>
          <w:sz w:val="28"/>
          <w:szCs w:val="28"/>
        </w:rPr>
      </w:pPr>
      <w:r>
        <w:rPr>
          <w:rFonts w:hint="eastAsia" w:ascii="仿宋" w:hAnsi="仿宋" w:eastAsia="仿宋" w:cs="仿宋"/>
          <w:color w:val="auto"/>
          <w:sz w:val="28"/>
          <w:szCs w:val="28"/>
        </w:rPr>
        <w:t>本项目资本金来源：资本金均来源于</w:t>
      </w:r>
      <w:r>
        <w:rPr>
          <w:rFonts w:hint="eastAsia" w:ascii="仿宋" w:hAnsi="仿宋" w:eastAsia="仿宋" w:cs="仿宋"/>
          <w:color w:val="auto"/>
          <w:sz w:val="28"/>
          <w:szCs w:val="28"/>
          <w:lang w:eastAsia="zh-CN"/>
        </w:rPr>
        <w:t>财政预算</w:t>
      </w:r>
      <w:r>
        <w:rPr>
          <w:rFonts w:hint="eastAsia" w:ascii="仿宋" w:hAnsi="仿宋" w:eastAsia="仿宋" w:cs="仿宋"/>
          <w:color w:val="auto"/>
          <w:sz w:val="28"/>
          <w:szCs w:val="28"/>
        </w:rPr>
        <w:t>，项目资本金</w:t>
      </w:r>
      <w:r>
        <w:rPr>
          <w:rFonts w:hint="eastAsia" w:ascii="仿宋" w:hAnsi="仿宋" w:eastAsia="仿宋" w:cs="仿宋"/>
          <w:color w:val="auto"/>
          <w:sz w:val="28"/>
          <w:szCs w:val="28"/>
          <w:lang w:val="en-US" w:eastAsia="zh-CN"/>
        </w:rPr>
        <w:t>1400.00</w:t>
      </w:r>
      <w:r>
        <w:rPr>
          <w:rFonts w:hint="eastAsia" w:ascii="仿宋" w:hAnsi="仿宋" w:eastAsia="仿宋" w:cs="仿宋"/>
          <w:color w:val="auto"/>
          <w:sz w:val="28"/>
          <w:szCs w:val="28"/>
        </w:rPr>
        <w:t>万元，占项目总投资的21.21%。</w:t>
      </w:r>
    </w:p>
    <w:p w14:paraId="28E3FEBB">
      <w:pPr>
        <w:spacing w:beforeLines="50" w:afterLines="50" w:line="360" w:lineRule="auto"/>
        <w:ind w:firstLine="560" w:firstLineChars="200"/>
        <w:jc w:val="both"/>
        <w:outlineLvl w:val="9"/>
        <w:rPr>
          <w:rFonts w:hint="eastAsia" w:ascii="仿宋" w:hAnsi="仿宋" w:eastAsia="仿宋" w:cs="仿宋"/>
          <w:color w:val="auto"/>
          <w:kern w:val="2"/>
          <w:sz w:val="28"/>
          <w:szCs w:val="28"/>
          <w:lang w:val="en-US" w:eastAsia="zh-CN"/>
        </w:rPr>
      </w:pPr>
      <w:r>
        <w:rPr>
          <w:rFonts w:hint="eastAsia" w:ascii="仿宋" w:hAnsi="仿宋" w:eastAsia="仿宋" w:cs="仿宋"/>
          <w:color w:val="auto"/>
          <w:sz w:val="28"/>
          <w:szCs w:val="28"/>
        </w:rPr>
        <w:t>融资来源：本项目拟发行专项债券总额</w:t>
      </w:r>
      <w:r>
        <w:rPr>
          <w:rFonts w:hint="eastAsia" w:ascii="仿宋" w:hAnsi="仿宋" w:eastAsia="仿宋" w:cs="仿宋"/>
          <w:color w:val="auto"/>
          <w:sz w:val="28"/>
          <w:szCs w:val="28"/>
          <w:lang w:val="en-US" w:eastAsia="zh-CN"/>
        </w:rPr>
        <w:t>5200.00</w:t>
      </w:r>
      <w:r>
        <w:rPr>
          <w:rFonts w:hint="eastAsia" w:ascii="仿宋" w:hAnsi="仿宋" w:eastAsia="仿宋" w:cs="仿宋"/>
          <w:color w:val="auto"/>
          <w:sz w:val="28"/>
          <w:szCs w:val="28"/>
        </w:rPr>
        <w:t>万元，占总投资比例为78.79%，其中：第1年申请发行专项债券</w:t>
      </w:r>
      <w:r>
        <w:rPr>
          <w:rFonts w:hint="eastAsia" w:ascii="仿宋" w:hAnsi="仿宋" w:eastAsia="仿宋" w:cs="仿宋"/>
          <w:color w:val="auto"/>
          <w:sz w:val="28"/>
          <w:szCs w:val="28"/>
          <w:lang w:val="en-US" w:eastAsia="zh-CN"/>
        </w:rPr>
        <w:t>2500.00</w:t>
      </w:r>
      <w:r>
        <w:rPr>
          <w:rFonts w:hint="eastAsia" w:ascii="仿宋" w:hAnsi="仿宋" w:eastAsia="仿宋" w:cs="仿宋"/>
          <w:color w:val="auto"/>
          <w:sz w:val="28"/>
          <w:szCs w:val="28"/>
        </w:rPr>
        <w:t>万元,第2年申请发行专项债券</w:t>
      </w:r>
      <w:r>
        <w:rPr>
          <w:rFonts w:hint="eastAsia" w:ascii="仿宋" w:hAnsi="仿宋" w:eastAsia="仿宋" w:cs="仿宋"/>
          <w:color w:val="auto"/>
          <w:sz w:val="28"/>
          <w:szCs w:val="28"/>
          <w:lang w:val="en-US" w:eastAsia="zh-CN"/>
        </w:rPr>
        <w:t>2700.00</w:t>
      </w:r>
      <w:r>
        <w:rPr>
          <w:rFonts w:hint="eastAsia" w:ascii="仿宋" w:hAnsi="仿宋" w:eastAsia="仿宋" w:cs="仿宋"/>
          <w:color w:val="auto"/>
          <w:sz w:val="28"/>
          <w:szCs w:val="28"/>
        </w:rPr>
        <w:t>万元，债券利率按</w:t>
      </w:r>
      <w:r>
        <w:rPr>
          <w:rFonts w:hint="eastAsia" w:ascii="仿宋" w:hAnsi="仿宋" w:eastAsia="仿宋" w:cs="仿宋"/>
          <w:color w:val="auto"/>
          <w:sz w:val="28"/>
          <w:szCs w:val="28"/>
          <w:lang w:eastAsia="zh-CN"/>
        </w:rPr>
        <w:t>3.20%</w:t>
      </w:r>
      <w:r>
        <w:rPr>
          <w:rFonts w:hint="eastAsia" w:ascii="仿宋" w:hAnsi="仿宋" w:eastAsia="仿宋" w:cs="仿宋"/>
          <w:color w:val="auto"/>
          <w:sz w:val="28"/>
          <w:szCs w:val="28"/>
        </w:rPr>
        <w:t>测算，发行年限30年，发行费用为面值的1‰。</w:t>
      </w:r>
    </w:p>
    <w:p w14:paraId="3C498088">
      <w:pPr>
        <w:numPr>
          <w:ilvl w:val="0"/>
          <w:numId w:val="0"/>
        </w:numPr>
        <w:spacing w:before="240" w:after="120"/>
        <w:ind w:leftChars="0" w:firstLine="643" w:firstLineChars="200"/>
        <w:outlineLvl w:val="2"/>
        <w:rPr>
          <w:rFonts w:hint="eastAsia" w:ascii="仿宋" w:hAnsi="仿宋" w:eastAsia="仿宋" w:cs="Times New Roman"/>
          <w:b/>
          <w:bCs/>
          <w:color w:val="auto"/>
          <w:sz w:val="32"/>
          <w:szCs w:val="32"/>
        </w:rPr>
      </w:pPr>
      <w:bookmarkStart w:id="81" w:name="_Toc533440342"/>
      <w:bookmarkStart w:id="82" w:name="_Toc523157069"/>
      <w:bookmarkStart w:id="83" w:name="_Toc1720152"/>
      <w:bookmarkStart w:id="84" w:name="_Toc523481549"/>
      <w:bookmarkStart w:id="85" w:name="_Toc25776"/>
      <w:r>
        <w:rPr>
          <w:rFonts w:hint="eastAsia" w:ascii="仿宋" w:hAnsi="仿宋" w:eastAsia="仿宋" w:cs="Times New Roman"/>
          <w:b/>
          <w:bCs/>
          <w:color w:val="auto"/>
          <w:sz w:val="32"/>
          <w:szCs w:val="32"/>
          <w:lang w:val="en-US" w:eastAsia="zh-CN"/>
        </w:rPr>
        <w:t>2.</w:t>
      </w:r>
      <w:r>
        <w:rPr>
          <w:rFonts w:hint="eastAsia" w:ascii="仿宋" w:hAnsi="仿宋" w:eastAsia="仿宋" w:cs="Times New Roman"/>
          <w:b/>
          <w:bCs/>
          <w:color w:val="auto"/>
          <w:sz w:val="32"/>
          <w:szCs w:val="32"/>
        </w:rPr>
        <w:t>资金使用计划</w:t>
      </w:r>
      <w:bookmarkEnd w:id="81"/>
      <w:bookmarkEnd w:id="82"/>
      <w:bookmarkEnd w:id="83"/>
      <w:bookmarkEnd w:id="84"/>
      <w:bookmarkEnd w:id="85"/>
    </w:p>
    <w:p w14:paraId="05D2B959">
      <w:pPr>
        <w:spacing w:beforeLines="50" w:afterLines="50" w:line="360" w:lineRule="auto"/>
        <w:ind w:firstLine="560" w:firstLineChars="200"/>
        <w:jc w:val="both"/>
        <w:outlineLvl w:val="9"/>
        <w:rPr>
          <w:rFonts w:hint="eastAsia" w:ascii="仿宋" w:hAnsi="仿宋" w:eastAsia="仿宋" w:cs="仿宋"/>
          <w:color w:val="auto"/>
          <w:kern w:val="2"/>
          <w:sz w:val="28"/>
          <w:szCs w:val="28"/>
          <w:lang w:val="en-US" w:eastAsia="zh-CN"/>
        </w:rPr>
      </w:pPr>
      <w:bookmarkStart w:id="86" w:name="_Toc9196"/>
      <w:r>
        <w:rPr>
          <w:rFonts w:hint="eastAsia" w:ascii="仿宋" w:hAnsi="仿宋" w:eastAsia="仿宋" w:cs="仿宋"/>
          <w:color w:val="auto"/>
          <w:sz w:val="28"/>
          <w:szCs w:val="28"/>
        </w:rPr>
        <w:t>项目所筹资金将根据项目实施计划和实施建设进度来进行合理分配，且将全部投资于项目，具体数额应当根据进度支出。在保证项目工程投资资金充足的情况下，充分利用且不浪费当年度专项债券融资额度，按照建设进度，总投资计划分</w:t>
      </w:r>
      <w:r>
        <w:rPr>
          <w:rFonts w:hint="eastAsia" w:ascii="仿宋" w:hAnsi="仿宋" w:eastAsia="仿宋" w:cs="仿宋"/>
          <w:color w:val="auto"/>
          <w:sz w:val="28"/>
          <w:szCs w:val="28"/>
          <w:lang w:eastAsia="zh-CN"/>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个月投入</w:t>
      </w:r>
      <w:r>
        <w:rPr>
          <w:rFonts w:hint="eastAsia" w:ascii="仿宋" w:hAnsi="仿宋" w:eastAsia="仿宋" w:cs="仿宋"/>
          <w:color w:val="auto"/>
          <w:kern w:val="2"/>
          <w:sz w:val="28"/>
          <w:szCs w:val="28"/>
        </w:rPr>
        <w:t>。</w:t>
      </w:r>
    </w:p>
    <w:p w14:paraId="27DAE398">
      <w:pPr>
        <w:spacing w:beforeLines="50" w:afterLines="50" w:line="360" w:lineRule="auto"/>
        <w:jc w:val="both"/>
        <w:outlineLvl w:val="0"/>
        <w:rPr>
          <w:rFonts w:ascii="仿宋" w:hAnsi="仿宋" w:eastAsia="仿宋"/>
          <w:b/>
          <w:bCs/>
          <w:color w:val="auto"/>
          <w:sz w:val="32"/>
          <w:szCs w:val="32"/>
        </w:rPr>
      </w:pPr>
      <w:r>
        <w:rPr>
          <w:rFonts w:hint="eastAsia" w:ascii="仿宋" w:hAnsi="仿宋" w:eastAsia="仿宋"/>
          <w:b/>
          <w:bCs/>
          <w:color w:val="auto"/>
          <w:sz w:val="32"/>
          <w:szCs w:val="32"/>
        </w:rPr>
        <w:t>四、项目预期收益、成本及融资平衡情况</w:t>
      </w:r>
      <w:bookmarkEnd w:id="86"/>
    </w:p>
    <w:p w14:paraId="5929F685">
      <w:pPr>
        <w:spacing w:beforeLines="50" w:afterLines="50" w:line="360" w:lineRule="auto"/>
        <w:outlineLvl w:val="1"/>
        <w:rPr>
          <w:rFonts w:ascii="仿宋" w:hAnsi="仿宋" w:eastAsia="仿宋"/>
          <w:b/>
          <w:bCs/>
          <w:color w:val="auto"/>
          <w:sz w:val="32"/>
          <w:szCs w:val="32"/>
        </w:rPr>
      </w:pPr>
      <w:bookmarkStart w:id="87" w:name="_Toc523157072"/>
      <w:bookmarkStart w:id="88" w:name="_Toc523481552"/>
      <w:bookmarkStart w:id="89" w:name="_Toc27170"/>
      <w:bookmarkStart w:id="90" w:name="_Toc533440345"/>
      <w:bookmarkStart w:id="91" w:name="_Toc522211088"/>
      <w:bookmarkStart w:id="92" w:name="_Toc1720155"/>
      <w:r>
        <w:rPr>
          <w:rFonts w:hint="eastAsia" w:ascii="仿宋" w:hAnsi="仿宋" w:eastAsia="仿宋"/>
          <w:b/>
          <w:bCs/>
          <w:color w:val="auto"/>
          <w:sz w:val="32"/>
          <w:szCs w:val="32"/>
          <w:lang w:eastAsia="zh-CN"/>
        </w:rPr>
        <w:t>（</w:t>
      </w:r>
      <w:r>
        <w:rPr>
          <w:rFonts w:hint="eastAsia" w:ascii="仿宋" w:hAnsi="仿宋" w:eastAsia="仿宋"/>
          <w:b/>
          <w:bCs/>
          <w:color w:val="auto"/>
          <w:sz w:val="32"/>
          <w:szCs w:val="32"/>
          <w:lang w:val="en-US" w:eastAsia="zh-CN"/>
        </w:rPr>
        <w:t>一</w:t>
      </w:r>
      <w:r>
        <w:rPr>
          <w:rFonts w:hint="eastAsia" w:ascii="仿宋" w:hAnsi="仿宋" w:eastAsia="仿宋"/>
          <w:b/>
          <w:bCs/>
          <w:color w:val="auto"/>
          <w:sz w:val="32"/>
          <w:szCs w:val="32"/>
          <w:lang w:eastAsia="zh-CN"/>
        </w:rPr>
        <w:t>）</w:t>
      </w:r>
      <w:r>
        <w:rPr>
          <w:rFonts w:hint="eastAsia" w:ascii="仿宋" w:hAnsi="仿宋" w:eastAsia="仿宋"/>
          <w:b/>
          <w:bCs/>
          <w:color w:val="auto"/>
          <w:sz w:val="32"/>
          <w:szCs w:val="32"/>
        </w:rPr>
        <w:t>预期收益</w:t>
      </w:r>
      <w:bookmarkEnd w:id="87"/>
      <w:bookmarkEnd w:id="88"/>
      <w:bookmarkEnd w:id="89"/>
      <w:bookmarkEnd w:id="90"/>
      <w:bookmarkEnd w:id="91"/>
      <w:bookmarkEnd w:id="92"/>
    </w:p>
    <w:p w14:paraId="383AF10C">
      <w:pPr>
        <w:spacing w:beforeLines="50" w:afterLines="50" w:line="360" w:lineRule="auto"/>
        <w:ind w:firstLine="643" w:firstLineChars="200"/>
        <w:outlineLvl w:val="2"/>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1.项目收入预测</w:t>
      </w:r>
    </w:p>
    <w:p w14:paraId="06421837">
      <w:pPr>
        <w:spacing w:beforeLines="50" w:afterLines="50" w:line="360" w:lineRule="auto"/>
        <w:ind w:firstLine="562" w:firstLineChars="200"/>
        <w:jc w:val="both"/>
        <w:outlineLvl w:val="9"/>
        <w:rPr>
          <w:rStyle w:val="25"/>
          <w:rFonts w:hint="eastAsia" w:ascii="仿宋" w:hAnsi="仿宋" w:eastAsia="仿宋" w:cs="仿宋"/>
          <w:b/>
          <w:bCs/>
          <w:caps w:val="0"/>
          <w:color w:val="auto"/>
          <w:kern w:val="0"/>
          <w:sz w:val="28"/>
          <w:szCs w:val="28"/>
          <w:lang w:val="en-US" w:eastAsia="zh-CN" w:bidi="ar-SA"/>
        </w:rPr>
      </w:pPr>
      <w:r>
        <w:rPr>
          <w:rStyle w:val="25"/>
          <w:rFonts w:hint="eastAsia"/>
          <w:b/>
          <w:bCs/>
          <w:color w:val="auto"/>
          <w:lang w:val="en-US" w:eastAsia="zh-CN"/>
        </w:rPr>
        <w:t>本项目收入来源</w:t>
      </w:r>
      <w:r>
        <w:rPr>
          <w:rStyle w:val="25"/>
          <w:rFonts w:hint="eastAsia"/>
          <w:color w:val="auto"/>
          <w:lang w:val="en-US" w:eastAsia="zh-CN"/>
        </w:rPr>
        <w:t>：门诊费及住院费分成收入。</w:t>
      </w:r>
    </w:p>
    <w:p w14:paraId="0263ABEE">
      <w:pPr>
        <w:pStyle w:val="20"/>
        <w:bidi w:val="0"/>
        <w:outlineLvl w:val="9"/>
        <w:rPr>
          <w:rFonts w:hint="eastAsia"/>
          <w:color w:val="auto"/>
          <w:lang w:val="en-US" w:eastAsia="zh-CN"/>
        </w:rPr>
      </w:pPr>
      <w:r>
        <w:rPr>
          <w:rFonts w:hint="eastAsia"/>
          <w:color w:val="auto"/>
          <w:lang w:val="en-US" w:eastAsia="zh-CN"/>
        </w:rPr>
        <w:t>经测算，本项目在债券存续期内运营总收入预计为</w:t>
      </w:r>
      <w:r>
        <w:rPr>
          <w:rFonts w:hint="eastAsia" w:ascii="仿宋" w:hAnsi="仿宋" w:cs="仿宋"/>
          <w:b w:val="0"/>
          <w:bCs w:val="0"/>
          <w:color w:val="auto"/>
          <w:highlight w:val="none"/>
          <w:lang w:eastAsia="zh-CN"/>
        </w:rPr>
        <w:t>30479.66</w:t>
      </w:r>
      <w:r>
        <w:rPr>
          <w:rFonts w:hint="eastAsia"/>
          <w:color w:val="auto"/>
          <w:lang w:val="en-US" w:eastAsia="zh-CN"/>
        </w:rPr>
        <w:t>万元。</w:t>
      </w:r>
    </w:p>
    <w:p w14:paraId="2FF2A0C7">
      <w:pPr>
        <w:spacing w:beforeLines="50" w:afterLines="50" w:line="360" w:lineRule="auto"/>
        <w:ind w:firstLine="643" w:firstLineChars="200"/>
        <w:outlineLvl w:val="2"/>
        <w:rPr>
          <w:rFonts w:hint="default"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2.成本预测</w:t>
      </w:r>
    </w:p>
    <w:p w14:paraId="7A82FA1E">
      <w:pPr>
        <w:spacing w:beforeLines="50" w:afterLines="50" w:line="360" w:lineRule="auto"/>
        <w:ind w:firstLine="560" w:firstLineChars="200"/>
        <w:outlineLvl w:val="9"/>
        <w:rPr>
          <w:rFonts w:hint="default" w:ascii="仿宋" w:hAnsi="仿宋" w:eastAsia="仿宋" w:cs="仿宋"/>
          <w:color w:val="auto"/>
          <w:sz w:val="28"/>
          <w:szCs w:val="28"/>
          <w:lang w:val="en-US" w:eastAsia="zh-CN"/>
        </w:rPr>
      </w:pPr>
      <w:bookmarkStart w:id="93" w:name="_Toc373"/>
      <w:r>
        <w:rPr>
          <w:rFonts w:hint="eastAsia" w:ascii="仿宋" w:hAnsi="仿宋" w:eastAsia="仿宋" w:cs="仿宋"/>
          <w:color w:val="auto"/>
          <w:sz w:val="28"/>
          <w:szCs w:val="28"/>
          <w:lang w:val="en-US" w:eastAsia="zh-CN"/>
        </w:rPr>
        <w:t>本项目成本包括经营成本（</w:t>
      </w:r>
      <w:r>
        <w:rPr>
          <w:rFonts w:hint="eastAsia" w:ascii="仿宋" w:hAnsi="仿宋" w:eastAsia="仿宋" w:cs="仿宋"/>
          <w:color w:val="auto"/>
          <w:sz w:val="28"/>
          <w:szCs w:val="28"/>
        </w:rPr>
        <w:t>人员工资及福利费、管理费、维修费用、燃料及动力费、外购原材料</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rPr>
        <w:t>固定资产折旧费</w:t>
      </w:r>
      <w:r>
        <w:rPr>
          <w:rFonts w:hint="eastAsia" w:ascii="仿宋" w:hAnsi="仿宋" w:eastAsia="仿宋" w:cs="仿宋"/>
          <w:color w:val="auto"/>
          <w:sz w:val="28"/>
          <w:szCs w:val="28"/>
          <w:lang w:val="en-US" w:eastAsia="zh-CN"/>
        </w:rPr>
        <w:t>、财务费用、相关税费。</w:t>
      </w:r>
      <w:r>
        <w:rPr>
          <w:rFonts w:hint="default" w:ascii="仿宋" w:hAnsi="仿宋" w:eastAsia="仿宋" w:cs="仿宋"/>
          <w:color w:val="auto"/>
          <w:sz w:val="28"/>
          <w:szCs w:val="28"/>
          <w:lang w:val="en-US" w:eastAsia="zh-CN"/>
        </w:rPr>
        <w:t>预测项目总成本费用为28327.49万元</w:t>
      </w:r>
      <w:r>
        <w:rPr>
          <w:rFonts w:hint="eastAsia" w:ascii="仿宋" w:hAnsi="仿宋" w:eastAsia="仿宋" w:cs="仿宋"/>
          <w:color w:val="auto"/>
          <w:sz w:val="28"/>
          <w:szCs w:val="28"/>
          <w:lang w:val="en-US" w:eastAsia="zh-CN"/>
        </w:rPr>
        <w:t>。</w:t>
      </w:r>
    </w:p>
    <w:p w14:paraId="4B8CD69B">
      <w:pPr>
        <w:spacing w:beforeLines="50" w:afterLines="50" w:line="360" w:lineRule="auto"/>
        <w:ind w:firstLine="643" w:firstLineChars="200"/>
        <w:outlineLvl w:val="2"/>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3.项目损益</w:t>
      </w:r>
      <w:bookmarkEnd w:id="93"/>
    </w:p>
    <w:p w14:paraId="554F4F0C">
      <w:pPr>
        <w:spacing w:beforeLines="50" w:afterLines="50" w:line="360" w:lineRule="auto"/>
        <w:ind w:firstLine="560" w:firstLineChars="200"/>
        <w:outlineLvl w:val="9"/>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综合上述专项收入、经营成本费用的估算，本项目在债券存续期内运营总收入预计为30479.66万元，总成本预计为28327.49万元，累计净利润为2152.17万元，本项目收入可偿债息前净现金流为12958.77万元。</w:t>
      </w:r>
    </w:p>
    <w:p w14:paraId="0D74FD63">
      <w:pPr>
        <w:spacing w:beforeLines="50" w:afterLines="50" w:line="360" w:lineRule="auto"/>
        <w:outlineLvl w:val="1"/>
        <w:rPr>
          <w:rFonts w:hint="eastAsia" w:ascii="仿宋" w:hAnsi="仿宋" w:eastAsia="仿宋" w:cs="Times New Roman"/>
          <w:b/>
          <w:bCs/>
          <w:color w:val="auto"/>
          <w:sz w:val="32"/>
          <w:szCs w:val="32"/>
        </w:rPr>
      </w:pPr>
      <w:r>
        <w:rPr>
          <w:rFonts w:hint="eastAsia" w:ascii="仿宋" w:hAnsi="仿宋" w:eastAsia="仿宋" w:cs="Times New Roman"/>
          <w:b/>
          <w:bCs/>
          <w:color w:val="auto"/>
          <w:sz w:val="32"/>
          <w:szCs w:val="32"/>
          <w:lang w:eastAsia="zh-CN"/>
        </w:rPr>
        <w:t>（</w:t>
      </w:r>
      <w:r>
        <w:rPr>
          <w:rFonts w:hint="eastAsia" w:ascii="仿宋" w:hAnsi="仿宋" w:eastAsia="仿宋" w:cs="Times New Roman"/>
          <w:b/>
          <w:bCs/>
          <w:color w:val="auto"/>
          <w:sz w:val="32"/>
          <w:szCs w:val="32"/>
          <w:lang w:val="en-US" w:eastAsia="zh-CN"/>
        </w:rPr>
        <w:t>二</w:t>
      </w:r>
      <w:r>
        <w:rPr>
          <w:rFonts w:hint="eastAsia" w:ascii="仿宋" w:hAnsi="仿宋" w:eastAsia="仿宋" w:cs="Times New Roman"/>
          <w:b/>
          <w:bCs/>
          <w:color w:val="auto"/>
          <w:sz w:val="32"/>
          <w:szCs w:val="32"/>
          <w:lang w:eastAsia="zh-CN"/>
        </w:rPr>
        <w:t>）</w:t>
      </w:r>
      <w:r>
        <w:rPr>
          <w:rFonts w:hint="eastAsia" w:ascii="仿宋" w:hAnsi="仿宋" w:eastAsia="仿宋" w:cs="Times New Roman"/>
          <w:b/>
          <w:bCs/>
          <w:color w:val="auto"/>
          <w:sz w:val="32"/>
          <w:szCs w:val="32"/>
        </w:rPr>
        <w:t>资金测算平衡情况</w:t>
      </w:r>
    </w:p>
    <w:p w14:paraId="488A3075">
      <w:pPr>
        <w:spacing w:beforeLines="50" w:afterLines="50" w:line="360" w:lineRule="auto"/>
        <w:ind w:firstLine="643" w:firstLineChars="200"/>
        <w:outlineLvl w:val="2"/>
        <w:rPr>
          <w:rFonts w:hint="eastAsia" w:ascii="仿宋" w:hAnsi="仿宋" w:eastAsia="仿宋"/>
          <w:b/>
          <w:bCs/>
          <w:color w:val="auto"/>
          <w:sz w:val="32"/>
          <w:szCs w:val="32"/>
          <w:lang w:val="en-US" w:eastAsia="zh-CN"/>
        </w:rPr>
      </w:pPr>
      <w:bookmarkStart w:id="94" w:name="_Toc24256"/>
      <w:bookmarkStart w:id="95" w:name="_Toc1381"/>
      <w:bookmarkStart w:id="96" w:name="_Toc18760766"/>
      <w:bookmarkStart w:id="97" w:name="_Toc20333"/>
      <w:r>
        <w:rPr>
          <w:rFonts w:hint="eastAsia" w:ascii="仿宋" w:hAnsi="仿宋" w:eastAsia="仿宋"/>
          <w:b/>
          <w:bCs/>
          <w:color w:val="auto"/>
          <w:sz w:val="32"/>
          <w:szCs w:val="32"/>
          <w:lang w:val="en-US" w:eastAsia="zh-CN"/>
        </w:rPr>
        <w:t>1.项目还本付息计划</w:t>
      </w:r>
      <w:bookmarkEnd w:id="94"/>
      <w:bookmarkEnd w:id="95"/>
      <w:bookmarkEnd w:id="96"/>
      <w:bookmarkEnd w:id="97"/>
    </w:p>
    <w:p w14:paraId="4955AAD7">
      <w:pPr>
        <w:spacing w:beforeLines="-2147483648" w:afterLines="-2147483648" w:line="240" w:lineRule="auto"/>
        <w:ind w:firstLine="560" w:firstLineChars="200"/>
        <w:outlineLvl w:val="9"/>
        <w:rPr>
          <w:rFonts w:hint="eastAsia" w:ascii="仿宋" w:hAnsi="仿宋" w:eastAsia="仿宋"/>
          <w:b/>
          <w:bCs/>
          <w:color w:val="auto"/>
          <w:sz w:val="32"/>
          <w:szCs w:val="32"/>
          <w:lang w:val="en-US" w:eastAsia="zh-CN"/>
        </w:rPr>
      </w:pPr>
      <w:bookmarkStart w:id="98" w:name="_Toc15443"/>
      <w:bookmarkStart w:id="99" w:name="_Toc13883"/>
      <w:bookmarkStart w:id="100" w:name="_Toc12782"/>
      <w:bookmarkStart w:id="101" w:name="_Toc18760767"/>
      <w:r>
        <w:rPr>
          <w:rFonts w:hint="eastAsia" w:ascii="仿宋" w:hAnsi="仿宋" w:eastAsia="仿宋" w:cs="仿宋"/>
          <w:bCs w:val="0"/>
          <w:color w:val="auto"/>
          <w:sz w:val="28"/>
          <w:szCs w:val="28"/>
        </w:rPr>
        <w:t>本项目发行债券需支付的利息，按照</w:t>
      </w:r>
      <w:r>
        <w:rPr>
          <w:rFonts w:hint="eastAsia" w:ascii="仿宋" w:hAnsi="仿宋" w:eastAsia="仿宋" w:cs="仿宋"/>
          <w:bCs w:val="0"/>
          <w:color w:val="auto"/>
          <w:sz w:val="28"/>
          <w:szCs w:val="28"/>
          <w:lang w:val="en-US" w:eastAsia="zh-CN"/>
        </w:rPr>
        <w:t>3</w:t>
      </w:r>
      <w:r>
        <w:rPr>
          <w:rFonts w:hint="eastAsia" w:ascii="仿宋" w:hAnsi="仿宋" w:eastAsia="仿宋" w:cs="仿宋"/>
          <w:bCs w:val="0"/>
          <w:color w:val="auto"/>
          <w:sz w:val="28"/>
          <w:szCs w:val="28"/>
          <w:lang w:eastAsia="zh-CN"/>
        </w:rPr>
        <w:t>.</w:t>
      </w:r>
      <w:r>
        <w:rPr>
          <w:rFonts w:hint="eastAsia" w:ascii="仿宋" w:hAnsi="仿宋" w:eastAsia="仿宋" w:cs="仿宋"/>
          <w:bCs w:val="0"/>
          <w:color w:val="auto"/>
          <w:sz w:val="28"/>
          <w:szCs w:val="28"/>
          <w:lang w:val="en-US" w:eastAsia="zh-CN"/>
        </w:rPr>
        <w:t>2</w:t>
      </w:r>
      <w:r>
        <w:rPr>
          <w:rFonts w:hint="eastAsia" w:ascii="仿宋" w:hAnsi="仿宋" w:eastAsia="仿宋" w:cs="仿宋"/>
          <w:bCs w:val="0"/>
          <w:color w:val="auto"/>
          <w:sz w:val="28"/>
          <w:szCs w:val="28"/>
          <w:lang w:eastAsia="zh-CN"/>
        </w:rPr>
        <w:t>%</w:t>
      </w:r>
      <w:r>
        <w:rPr>
          <w:rFonts w:hint="eastAsia" w:ascii="仿宋" w:hAnsi="仿宋" w:eastAsia="仿宋" w:cs="仿宋"/>
          <w:bCs w:val="0"/>
          <w:color w:val="auto"/>
          <w:sz w:val="28"/>
          <w:szCs w:val="28"/>
        </w:rPr>
        <w:t>利率计算，债券发行期限为30年。假设在年初发行债券，每半年付息一次，期满一次偿还本金和最后一笔利息。债券存续期内累计需支付利息</w:t>
      </w:r>
      <w:r>
        <w:rPr>
          <w:rFonts w:hint="eastAsia" w:ascii="仿宋" w:hAnsi="仿宋" w:eastAsia="仿宋" w:cs="仿宋"/>
          <w:bCs w:val="0"/>
          <w:color w:val="auto"/>
          <w:sz w:val="28"/>
          <w:szCs w:val="28"/>
          <w:lang w:eastAsia="zh-CN"/>
        </w:rPr>
        <w:t>4992</w:t>
      </w:r>
      <w:r>
        <w:rPr>
          <w:rFonts w:hint="eastAsia" w:ascii="仿宋" w:hAnsi="仿宋" w:eastAsia="仿宋" w:cs="仿宋"/>
          <w:bCs w:val="0"/>
          <w:color w:val="auto"/>
          <w:sz w:val="28"/>
          <w:szCs w:val="28"/>
          <w:lang w:val="en-US" w:eastAsia="zh-CN"/>
        </w:rPr>
        <w:t>.00</w:t>
      </w:r>
      <w:r>
        <w:rPr>
          <w:rFonts w:hint="eastAsia" w:ascii="仿宋" w:hAnsi="仿宋" w:eastAsia="仿宋" w:cs="仿宋"/>
          <w:bCs w:val="0"/>
          <w:color w:val="auto"/>
          <w:sz w:val="28"/>
          <w:szCs w:val="28"/>
        </w:rPr>
        <w:t>万元，其中：专项债券建设期利息计</w:t>
      </w:r>
      <w:r>
        <w:rPr>
          <w:rFonts w:hint="eastAsia" w:ascii="仿宋" w:hAnsi="仿宋" w:eastAsia="仿宋" w:cs="仿宋"/>
          <w:bCs w:val="0"/>
          <w:color w:val="auto"/>
          <w:sz w:val="28"/>
          <w:szCs w:val="28"/>
          <w:lang w:eastAsia="zh-CN"/>
        </w:rPr>
        <w:t>246.40</w:t>
      </w:r>
      <w:r>
        <w:rPr>
          <w:rFonts w:hint="eastAsia" w:ascii="仿宋" w:hAnsi="仿宋" w:eastAsia="仿宋" w:cs="仿宋"/>
          <w:bCs w:val="0"/>
          <w:color w:val="auto"/>
          <w:sz w:val="28"/>
          <w:szCs w:val="28"/>
        </w:rPr>
        <w:t>万元计入建设投资，专项债券在运营期间产生的利息费用4745.60万元。</w:t>
      </w:r>
    </w:p>
    <w:p w14:paraId="40BFBB6B">
      <w:pPr>
        <w:spacing w:beforeLines="50" w:afterLines="50" w:line="360" w:lineRule="auto"/>
        <w:ind w:firstLine="643" w:firstLineChars="200"/>
        <w:outlineLvl w:val="2"/>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2.项目资金平衡情况</w:t>
      </w:r>
      <w:bookmarkEnd w:id="98"/>
      <w:bookmarkEnd w:id="99"/>
      <w:bookmarkEnd w:id="100"/>
      <w:bookmarkEnd w:id="101"/>
    </w:p>
    <w:p w14:paraId="03CC82F1">
      <w:pPr>
        <w:spacing w:beforeLines="50" w:afterLines="50" w:line="360" w:lineRule="auto"/>
        <w:ind w:firstLine="560" w:firstLineChars="200"/>
        <w:jc w:val="both"/>
        <w:outlineLvl w:val="9"/>
        <w:rPr>
          <w:rFonts w:hint="eastAsia" w:ascii="仿宋" w:hAnsi="仿宋" w:eastAsia="仿宋" w:cs="仿宋"/>
          <w:color w:val="auto"/>
          <w:sz w:val="28"/>
          <w:szCs w:val="28"/>
        </w:rPr>
      </w:pPr>
      <w:r>
        <w:rPr>
          <w:rFonts w:hint="eastAsia" w:ascii="仿宋" w:hAnsi="仿宋" w:eastAsia="仿宋" w:cs="仿宋"/>
          <w:color w:val="auto"/>
          <w:sz w:val="28"/>
          <w:szCs w:val="28"/>
        </w:rPr>
        <w:t>若项目在满足上述资金筹集计划、项目实施计划、资金使用计划及预期收益的的假设前提下，政府专项债到期日累计资金结余</w:t>
      </w:r>
      <w:r>
        <w:rPr>
          <w:rFonts w:hint="eastAsia" w:ascii="仿宋" w:hAnsi="仿宋" w:eastAsia="仿宋" w:cs="仿宋"/>
          <w:color w:val="auto"/>
          <w:sz w:val="28"/>
          <w:szCs w:val="28"/>
          <w:lang w:eastAsia="zh-CN"/>
        </w:rPr>
        <w:t>3013.17</w:t>
      </w:r>
      <w:r>
        <w:rPr>
          <w:rFonts w:hint="eastAsia" w:ascii="仿宋" w:hAnsi="仿宋" w:eastAsia="仿宋" w:cs="仿宋"/>
          <w:color w:val="auto"/>
          <w:sz w:val="28"/>
          <w:szCs w:val="28"/>
        </w:rPr>
        <w:t>万元，项目在预测期内可偿债“</w:t>
      </w:r>
      <w:r>
        <w:rPr>
          <w:rFonts w:hint="eastAsia" w:ascii="仿宋" w:hAnsi="仿宋" w:eastAsia="仿宋" w:cs="仿宋"/>
          <w:color w:val="auto"/>
          <w:sz w:val="28"/>
          <w:szCs w:val="28"/>
          <w:lang w:eastAsia="zh-CN"/>
        </w:rPr>
        <w:t>息前净现金流</w:t>
      </w:r>
      <w:r>
        <w:rPr>
          <w:rFonts w:hint="eastAsia" w:ascii="仿宋" w:hAnsi="仿宋" w:eastAsia="仿宋" w:cs="仿宋"/>
          <w:color w:val="auto"/>
          <w:sz w:val="28"/>
          <w:szCs w:val="28"/>
        </w:rPr>
        <w:t>”为</w:t>
      </w:r>
      <w:r>
        <w:rPr>
          <w:rFonts w:hint="eastAsia" w:ascii="仿宋" w:hAnsi="仿宋" w:eastAsia="仿宋" w:cs="仿宋"/>
          <w:color w:val="auto"/>
          <w:sz w:val="28"/>
          <w:szCs w:val="28"/>
          <w:lang w:eastAsia="zh-CN"/>
        </w:rPr>
        <w:t>12958.77</w:t>
      </w:r>
      <w:r>
        <w:rPr>
          <w:rFonts w:hint="eastAsia" w:ascii="仿宋" w:hAnsi="仿宋" w:eastAsia="仿宋" w:cs="仿宋"/>
          <w:color w:val="auto"/>
          <w:sz w:val="28"/>
          <w:szCs w:val="28"/>
        </w:rPr>
        <w:t>万元，“专项债券融资到期本息”合计</w:t>
      </w:r>
      <w:r>
        <w:rPr>
          <w:rFonts w:hint="eastAsia" w:ascii="仿宋" w:hAnsi="仿宋" w:eastAsia="仿宋" w:cs="仿宋"/>
          <w:color w:val="auto"/>
          <w:sz w:val="28"/>
          <w:szCs w:val="28"/>
          <w:lang w:eastAsia="zh-CN"/>
        </w:rPr>
        <w:t>10192.00</w:t>
      </w:r>
      <w:r>
        <w:rPr>
          <w:rFonts w:hint="eastAsia" w:ascii="仿宋" w:hAnsi="仿宋" w:eastAsia="仿宋" w:cs="仿宋"/>
          <w:color w:val="auto"/>
          <w:sz w:val="28"/>
          <w:szCs w:val="28"/>
        </w:rPr>
        <w:t>万元；</w:t>
      </w:r>
    </w:p>
    <w:p w14:paraId="6953A940">
      <w:pPr>
        <w:spacing w:beforeLines="50" w:afterLines="50" w:line="360" w:lineRule="auto"/>
        <w:ind w:firstLine="560" w:firstLineChars="200"/>
        <w:jc w:val="both"/>
        <w:outlineLvl w:val="9"/>
        <w:rPr>
          <w:rFonts w:hint="eastAsia" w:ascii="仿宋" w:hAnsi="仿宋" w:eastAsia="仿宋" w:cs="仿宋"/>
          <w:color w:val="auto"/>
          <w:kern w:val="2"/>
          <w:sz w:val="28"/>
          <w:szCs w:val="28"/>
          <w:lang w:val="en-US"/>
        </w:rPr>
      </w:pPr>
      <w:r>
        <w:rPr>
          <w:rFonts w:hint="eastAsia" w:ascii="仿宋" w:hAnsi="仿宋" w:eastAsia="仿宋" w:cs="仿宋"/>
          <w:color w:val="auto"/>
          <w:sz w:val="28"/>
          <w:szCs w:val="28"/>
        </w:rPr>
        <w:t>本项目收益覆盖倍数（息前</w:t>
      </w:r>
      <w:r>
        <w:rPr>
          <w:rFonts w:hint="eastAsia" w:ascii="仿宋" w:hAnsi="仿宋" w:eastAsia="仿宋" w:cs="仿宋"/>
          <w:color w:val="auto"/>
          <w:sz w:val="28"/>
          <w:szCs w:val="28"/>
          <w:lang w:eastAsia="zh-CN"/>
        </w:rPr>
        <w:t>息前净现金流</w:t>
      </w:r>
      <w:r>
        <w:rPr>
          <w:rFonts w:hint="eastAsia" w:ascii="仿宋" w:hAnsi="仿宋" w:eastAsia="仿宋" w:cs="仿宋"/>
          <w:color w:val="auto"/>
          <w:sz w:val="28"/>
          <w:szCs w:val="28"/>
        </w:rPr>
        <w:t>/专项债券融资到期本息）为</w:t>
      </w:r>
      <w:r>
        <w:rPr>
          <w:rFonts w:hint="eastAsia" w:ascii="仿宋" w:hAnsi="仿宋" w:eastAsia="仿宋" w:cs="仿宋"/>
          <w:color w:val="auto"/>
          <w:sz w:val="28"/>
          <w:szCs w:val="28"/>
          <w:lang w:eastAsia="zh-CN"/>
        </w:rPr>
        <w:t>1.27</w:t>
      </w:r>
      <w:r>
        <w:rPr>
          <w:rFonts w:hint="eastAsia" w:ascii="仿宋" w:hAnsi="仿宋" w:eastAsia="仿宋" w:cs="仿宋"/>
          <w:color w:val="auto"/>
          <w:sz w:val="28"/>
          <w:szCs w:val="28"/>
        </w:rPr>
        <w:t>倍，期间不存在资金缺口。</w:t>
      </w:r>
    </w:p>
    <w:p w14:paraId="1DD5F942">
      <w:pPr>
        <w:spacing w:beforeLines="50" w:afterLines="50" w:line="360" w:lineRule="auto"/>
        <w:ind w:firstLine="560" w:firstLineChars="200"/>
        <w:jc w:val="both"/>
        <w:outlineLvl w:val="9"/>
        <w:rPr>
          <w:rFonts w:hint="eastAsia" w:ascii="仿宋" w:hAnsi="仿宋" w:eastAsia="仿宋" w:cs="仿宋"/>
          <w:color w:val="auto"/>
          <w:sz w:val="28"/>
          <w:szCs w:val="28"/>
          <w:lang w:val="en-US" w:eastAsia="zh-CN"/>
        </w:rPr>
        <w:sectPr>
          <w:headerReference r:id="rId3" w:type="default"/>
          <w:footerReference r:id="rId4" w:type="default"/>
          <w:pgSz w:w="11906" w:h="16838"/>
          <w:pgMar w:top="1440" w:right="1800" w:bottom="1440" w:left="1800" w:header="851" w:footer="992" w:gutter="0"/>
          <w:pgNumType w:fmt="decimal"/>
          <w:cols w:space="425" w:num="1"/>
          <w:docGrid w:type="lines" w:linePitch="326" w:charSpace="0"/>
        </w:sectPr>
      </w:pPr>
      <w:r>
        <w:rPr>
          <w:rFonts w:hint="eastAsia" w:ascii="仿宋" w:hAnsi="仿宋" w:eastAsia="仿宋" w:cs="仿宋"/>
          <w:color w:val="auto"/>
          <w:sz w:val="28"/>
          <w:szCs w:val="28"/>
          <w:lang w:val="en-US" w:eastAsia="zh-CN"/>
        </w:rPr>
        <w:t>资金测算平衡情况具体见表下</w:t>
      </w:r>
    </w:p>
    <w:p w14:paraId="395494E5">
      <w:pPr>
        <w:ind w:firstLine="6746" w:firstLineChars="2800"/>
        <w:jc w:val="both"/>
        <w:outlineLvl w:val="1"/>
        <w:rPr>
          <w:rFonts w:hint="default" w:ascii="华文楷体" w:hAnsi="华文楷体" w:eastAsia="LF_Kai" w:cstheme="minorBidi"/>
          <w:b/>
          <w:bCs/>
          <w:color w:val="auto"/>
          <w:sz w:val="24"/>
          <w:szCs w:val="20"/>
          <w:lang w:val="en-US" w:eastAsia="zh-CN"/>
        </w:rPr>
      </w:pPr>
      <w:r>
        <w:rPr>
          <w:rFonts w:hint="default" w:ascii="华文楷体" w:hAnsi="华文楷体" w:eastAsia="LF_Kai" w:cstheme="minorBidi"/>
          <w:b/>
          <w:bCs/>
          <w:color w:val="auto"/>
          <w:sz w:val="24"/>
          <w:szCs w:val="20"/>
          <w:lang w:val="en-US" w:eastAsia="zh-CN"/>
        </w:rPr>
        <w:t>资金平衡测算表</w:t>
      </w:r>
    </w:p>
    <w:p w14:paraId="1EB3E83A">
      <w:pPr>
        <w:ind w:firstLine="14215" w:firstLineChars="5900"/>
        <w:jc w:val="right"/>
        <w:outlineLvl w:val="1"/>
        <w:rPr>
          <w:rFonts w:hint="default" w:ascii="Calibri" w:hAnsi="Calibri" w:eastAsia="仿宋_GB2312" w:cs="Calibri"/>
          <w:b/>
          <w:bCs/>
          <w:caps/>
          <w:color w:val="auto"/>
          <w:kern w:val="2"/>
          <w:sz w:val="24"/>
          <w:szCs w:val="28"/>
          <w:lang w:val="en-US" w:eastAsia="zh-CN" w:bidi="ar-SA"/>
        </w:rPr>
      </w:pPr>
      <w:r>
        <w:rPr>
          <w:rFonts w:hint="default" w:ascii="Calibri" w:hAnsi="Calibri" w:eastAsia="仿宋_GB2312" w:cs="Calibri"/>
          <w:b/>
          <w:bCs/>
          <w:caps/>
          <w:color w:val="auto"/>
          <w:kern w:val="2"/>
          <w:sz w:val="24"/>
          <w:szCs w:val="28"/>
          <w:lang w:val="en-US" w:eastAsia="zh-CN" w:bidi="ar-SA"/>
        </w:rPr>
        <w:t>单位：万元</w:t>
      </w:r>
    </w:p>
    <w:tbl>
      <w:tblPr>
        <w:tblStyle w:val="15"/>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55"/>
        <w:gridCol w:w="2552"/>
        <w:gridCol w:w="816"/>
        <w:gridCol w:w="790"/>
        <w:gridCol w:w="790"/>
        <w:gridCol w:w="756"/>
        <w:gridCol w:w="756"/>
        <w:gridCol w:w="759"/>
        <w:gridCol w:w="759"/>
        <w:gridCol w:w="759"/>
        <w:gridCol w:w="759"/>
        <w:gridCol w:w="759"/>
        <w:gridCol w:w="759"/>
        <w:gridCol w:w="759"/>
        <w:gridCol w:w="759"/>
        <w:gridCol w:w="759"/>
        <w:gridCol w:w="759"/>
        <w:gridCol w:w="806"/>
      </w:tblGrid>
      <w:tr w14:paraId="05B09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blHeader/>
          <w:jc w:val="center"/>
        </w:trPr>
        <w:tc>
          <w:tcPr>
            <w:tcW w:w="242" w:type="pct"/>
            <w:vMerge w:val="restart"/>
            <w:tcBorders>
              <w:top w:val="single" w:color="000000" w:sz="4" w:space="0"/>
              <w:left w:val="single" w:color="000000" w:sz="4" w:space="0"/>
              <w:bottom w:val="single" w:color="000000" w:sz="4" w:space="0"/>
              <w:right w:val="single" w:color="000000" w:sz="4" w:space="0"/>
            </w:tcBorders>
            <w:noWrap/>
            <w:vAlign w:val="center"/>
          </w:tcPr>
          <w:p w14:paraId="0FC4AA6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序号</w:t>
            </w:r>
          </w:p>
        </w:tc>
        <w:tc>
          <w:tcPr>
            <w:tcW w:w="817" w:type="pct"/>
            <w:vMerge w:val="restart"/>
            <w:tcBorders>
              <w:top w:val="single" w:color="000000" w:sz="4" w:space="0"/>
              <w:left w:val="single" w:color="000000" w:sz="4" w:space="0"/>
              <w:bottom w:val="single" w:color="000000" w:sz="4" w:space="0"/>
              <w:right w:val="single" w:color="000000" w:sz="4" w:space="0"/>
            </w:tcBorders>
            <w:noWrap w:val="0"/>
            <w:vAlign w:val="center"/>
          </w:tcPr>
          <w:p w14:paraId="0FB83ED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项目</w:t>
            </w:r>
          </w:p>
        </w:tc>
        <w:tc>
          <w:tcPr>
            <w:tcW w:w="261" w:type="pct"/>
            <w:vMerge w:val="restart"/>
            <w:tcBorders>
              <w:top w:val="single" w:color="000000" w:sz="4" w:space="0"/>
              <w:left w:val="single" w:color="000000" w:sz="4" w:space="0"/>
              <w:bottom w:val="single" w:color="000000" w:sz="4" w:space="0"/>
              <w:right w:val="single" w:color="000000" w:sz="4" w:space="0"/>
            </w:tcBorders>
            <w:noWrap/>
            <w:vAlign w:val="center"/>
          </w:tcPr>
          <w:p w14:paraId="287D35F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合计</w:t>
            </w:r>
          </w:p>
        </w:tc>
        <w:tc>
          <w:tcPr>
            <w:tcW w:w="506" w:type="pct"/>
            <w:gridSpan w:val="2"/>
            <w:tcBorders>
              <w:top w:val="single" w:color="000000" w:sz="4" w:space="0"/>
              <w:left w:val="single" w:color="000000" w:sz="4" w:space="0"/>
              <w:bottom w:val="single" w:color="000000" w:sz="4" w:space="0"/>
              <w:right w:val="single" w:color="000000" w:sz="4" w:space="0"/>
            </w:tcBorders>
            <w:noWrap/>
            <w:vAlign w:val="center"/>
          </w:tcPr>
          <w:p w14:paraId="6688A41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建设期</w:t>
            </w:r>
          </w:p>
        </w:tc>
        <w:tc>
          <w:tcPr>
            <w:tcW w:w="3172" w:type="pct"/>
            <w:gridSpan w:val="13"/>
            <w:tcBorders>
              <w:top w:val="single" w:color="000000" w:sz="4" w:space="0"/>
              <w:left w:val="single" w:color="000000" w:sz="4" w:space="0"/>
              <w:bottom w:val="single" w:color="000000" w:sz="4" w:space="0"/>
              <w:right w:val="single" w:color="000000" w:sz="4" w:space="0"/>
            </w:tcBorders>
            <w:noWrap/>
            <w:vAlign w:val="center"/>
          </w:tcPr>
          <w:p w14:paraId="58F4FA4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运营期</w:t>
            </w:r>
          </w:p>
        </w:tc>
      </w:tr>
      <w:tr w14:paraId="2A6E3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blHeader/>
          <w:jc w:val="center"/>
        </w:trPr>
        <w:tc>
          <w:tcPr>
            <w:tcW w:w="242" w:type="pct"/>
            <w:vMerge w:val="continue"/>
            <w:tcBorders>
              <w:top w:val="single" w:color="000000" w:sz="4" w:space="0"/>
              <w:left w:val="single" w:color="000000" w:sz="4" w:space="0"/>
              <w:bottom w:val="single" w:color="000000" w:sz="4" w:space="0"/>
              <w:right w:val="single" w:color="000000" w:sz="4" w:space="0"/>
            </w:tcBorders>
            <w:noWrap/>
            <w:vAlign w:val="center"/>
          </w:tcPr>
          <w:p w14:paraId="33190B0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b/>
                <w:bCs/>
                <w:i w:val="0"/>
                <w:iCs w:val="0"/>
                <w:color w:val="000000"/>
                <w:sz w:val="16"/>
                <w:szCs w:val="16"/>
                <w:u w:val="none"/>
              </w:rPr>
            </w:pPr>
          </w:p>
        </w:tc>
        <w:tc>
          <w:tcPr>
            <w:tcW w:w="817" w:type="pct"/>
            <w:vMerge w:val="continue"/>
            <w:tcBorders>
              <w:top w:val="single" w:color="000000" w:sz="4" w:space="0"/>
              <w:left w:val="single" w:color="000000" w:sz="4" w:space="0"/>
              <w:bottom w:val="single" w:color="000000" w:sz="4" w:space="0"/>
              <w:right w:val="single" w:color="000000" w:sz="4" w:space="0"/>
            </w:tcBorders>
            <w:noWrap w:val="0"/>
            <w:vAlign w:val="center"/>
          </w:tcPr>
          <w:p w14:paraId="4CE5D00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b/>
                <w:bCs/>
                <w:i w:val="0"/>
                <w:iCs w:val="0"/>
                <w:color w:val="000000"/>
                <w:sz w:val="16"/>
                <w:szCs w:val="16"/>
                <w:u w:val="none"/>
              </w:rPr>
            </w:pPr>
          </w:p>
        </w:tc>
        <w:tc>
          <w:tcPr>
            <w:tcW w:w="261" w:type="pct"/>
            <w:vMerge w:val="continue"/>
            <w:tcBorders>
              <w:top w:val="single" w:color="000000" w:sz="4" w:space="0"/>
              <w:left w:val="single" w:color="000000" w:sz="4" w:space="0"/>
              <w:bottom w:val="single" w:color="000000" w:sz="4" w:space="0"/>
              <w:right w:val="single" w:color="000000" w:sz="4" w:space="0"/>
            </w:tcBorders>
            <w:noWrap/>
            <w:vAlign w:val="center"/>
          </w:tcPr>
          <w:p w14:paraId="7E75C69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b/>
                <w:bCs/>
                <w:i w:val="0"/>
                <w:iCs w:val="0"/>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5C53887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第1年</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4A51140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第2年</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7C28F46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第1年</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5A463D5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第2年</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45EAA3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第3年</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ECE56C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第4年</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04AAD96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第5年</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2DDE853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第6年</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6F0FFC9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第7年</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49416A3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第8年</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7338065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第9年</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2FD13B5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第10年</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42F7051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第11年</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1C4F9AE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第12年</w:t>
            </w:r>
          </w:p>
        </w:tc>
        <w:tc>
          <w:tcPr>
            <w:tcW w:w="256" w:type="pct"/>
            <w:tcBorders>
              <w:top w:val="single" w:color="000000" w:sz="4" w:space="0"/>
              <w:left w:val="single" w:color="000000" w:sz="4" w:space="0"/>
              <w:bottom w:val="single" w:color="000000" w:sz="4" w:space="0"/>
              <w:right w:val="single" w:color="000000" w:sz="4" w:space="0"/>
            </w:tcBorders>
            <w:noWrap w:val="0"/>
            <w:vAlign w:val="center"/>
          </w:tcPr>
          <w:p w14:paraId="41993FA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第13年</w:t>
            </w:r>
          </w:p>
        </w:tc>
      </w:tr>
      <w:tr w14:paraId="148F3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222ED5E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一</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157F186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经营活动产生的净现金流量（</w:t>
            </w:r>
            <w:r>
              <w:rPr>
                <w:rFonts w:hint="default" w:ascii="Times New Roman" w:hAnsi="Times New Roman" w:eastAsia="仿宋" w:cs="Times New Roman"/>
                <w:b/>
                <w:bCs/>
                <w:i w:val="0"/>
                <w:iCs w:val="0"/>
                <w:color w:val="000000"/>
                <w:kern w:val="0"/>
                <w:sz w:val="16"/>
                <w:szCs w:val="16"/>
                <w:u w:val="none"/>
                <w:lang w:val="en-US" w:eastAsia="zh-CN" w:bidi="ar"/>
              </w:rPr>
              <w:t>1-2</w:t>
            </w:r>
            <w:r>
              <w:rPr>
                <w:rFonts w:hint="eastAsia" w:ascii="仿宋" w:hAnsi="仿宋" w:eastAsia="仿宋" w:cs="仿宋"/>
                <w:b/>
                <w:bCs/>
                <w:i w:val="0"/>
                <w:iCs w:val="0"/>
                <w:color w:val="000000"/>
                <w:kern w:val="0"/>
                <w:sz w:val="16"/>
                <w:szCs w:val="16"/>
                <w:u w:val="none"/>
                <w:lang w:val="en-US" w:eastAsia="zh-CN" w:bidi="ar"/>
              </w:rPr>
              <w:t>）</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051B2ED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12958.77</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0D8961E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b/>
                <w:bCs/>
                <w:i w:val="0"/>
                <w:iCs w:val="0"/>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1037F0A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b/>
                <w:bCs/>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3A0CFED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395.41</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628BF12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390.80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9BF780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388.01</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0B87C85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405.12</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0D09EBB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402.33</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6291C54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399.54</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7C10F24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417.23</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7370A5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414.44</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537C68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411.65</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7855A14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429.97</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B41FB0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427.18</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00554F8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424.38</w:t>
            </w:r>
          </w:p>
        </w:tc>
        <w:tc>
          <w:tcPr>
            <w:tcW w:w="256" w:type="pct"/>
            <w:tcBorders>
              <w:top w:val="single" w:color="000000" w:sz="4" w:space="0"/>
              <w:left w:val="single" w:color="000000" w:sz="4" w:space="0"/>
              <w:bottom w:val="single" w:color="000000" w:sz="4" w:space="0"/>
              <w:right w:val="single" w:color="000000" w:sz="4" w:space="0"/>
            </w:tcBorders>
            <w:noWrap w:val="0"/>
            <w:vAlign w:val="center"/>
          </w:tcPr>
          <w:p w14:paraId="418C471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443.34</w:t>
            </w:r>
          </w:p>
        </w:tc>
      </w:tr>
      <w:tr w14:paraId="5AE68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3F9EF1E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396FD20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现金流入</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79C6EDB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30479.66</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3999988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6CCAE36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374CDE7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921.20</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57815D7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921.20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6B4B65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921.20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76BEEEE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948.84</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0574820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948.84</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7538A67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948.84</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A76F2C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977.30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7A2C863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977.30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64F6445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977.30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4EE9224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1006.62</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45EA130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1006.62</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7218101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1006.62</w:t>
            </w:r>
          </w:p>
        </w:tc>
        <w:tc>
          <w:tcPr>
            <w:tcW w:w="256" w:type="pct"/>
            <w:tcBorders>
              <w:top w:val="single" w:color="000000" w:sz="4" w:space="0"/>
              <w:left w:val="single" w:color="000000" w:sz="4" w:space="0"/>
              <w:bottom w:val="single" w:color="000000" w:sz="4" w:space="0"/>
              <w:right w:val="single" w:color="000000" w:sz="4" w:space="0"/>
            </w:tcBorders>
            <w:noWrap w:val="0"/>
            <w:vAlign w:val="center"/>
          </w:tcPr>
          <w:p w14:paraId="066C26A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1036.82</w:t>
            </w:r>
          </w:p>
        </w:tc>
      </w:tr>
      <w:tr w14:paraId="4CB70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686F462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1.1</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49CBD0F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经营收入</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055D562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30479.66</w:t>
            </w:r>
          </w:p>
        </w:tc>
        <w:tc>
          <w:tcPr>
            <w:tcW w:w="253" w:type="pct"/>
            <w:tcBorders>
              <w:top w:val="single" w:color="000000" w:sz="4" w:space="0"/>
              <w:left w:val="single" w:color="000000" w:sz="4" w:space="0"/>
              <w:bottom w:val="single" w:color="000000" w:sz="4" w:space="0"/>
              <w:right w:val="single" w:color="000000" w:sz="4" w:space="0"/>
            </w:tcBorders>
            <w:noWrap/>
            <w:vAlign w:val="center"/>
          </w:tcPr>
          <w:p w14:paraId="3385EF7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noWrap/>
            <w:vAlign w:val="center"/>
          </w:tcPr>
          <w:p w14:paraId="0760463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ign w:val="center"/>
          </w:tcPr>
          <w:p w14:paraId="1ADF44C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921.20</w:t>
            </w:r>
          </w:p>
        </w:tc>
        <w:tc>
          <w:tcPr>
            <w:tcW w:w="242" w:type="pct"/>
            <w:tcBorders>
              <w:top w:val="single" w:color="000000" w:sz="4" w:space="0"/>
              <w:left w:val="single" w:color="000000" w:sz="4" w:space="0"/>
              <w:bottom w:val="single" w:color="000000" w:sz="4" w:space="0"/>
              <w:right w:val="single" w:color="000000" w:sz="4" w:space="0"/>
            </w:tcBorders>
            <w:noWrap/>
            <w:vAlign w:val="center"/>
          </w:tcPr>
          <w:p w14:paraId="308B9B7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921.20</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6A66339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921.20</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2F32DDF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948.84</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0BF1B5A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948.84</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070EB5C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948.84</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071387A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977.30</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0B479A9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977.30</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18797E8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977.30</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5C02915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1006.62</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6D0E600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1006.62</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65567D1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1006.62</w:t>
            </w:r>
          </w:p>
        </w:tc>
        <w:tc>
          <w:tcPr>
            <w:tcW w:w="256" w:type="pct"/>
            <w:tcBorders>
              <w:top w:val="single" w:color="000000" w:sz="4" w:space="0"/>
              <w:left w:val="single" w:color="000000" w:sz="4" w:space="0"/>
              <w:bottom w:val="single" w:color="000000" w:sz="4" w:space="0"/>
              <w:right w:val="single" w:color="000000" w:sz="4" w:space="0"/>
            </w:tcBorders>
            <w:noWrap/>
            <w:vAlign w:val="center"/>
          </w:tcPr>
          <w:p w14:paraId="217A5AE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1036.82</w:t>
            </w:r>
          </w:p>
        </w:tc>
      </w:tr>
      <w:tr w14:paraId="1164F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50F3879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1.2</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11D1FF9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补贴收入</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3B2E5B0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noWrap/>
            <w:vAlign w:val="center"/>
          </w:tcPr>
          <w:p w14:paraId="6E52DF2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noWrap/>
            <w:vAlign w:val="center"/>
          </w:tcPr>
          <w:p w14:paraId="511BCAA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ign w:val="center"/>
          </w:tcPr>
          <w:p w14:paraId="0359A2C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ign w:val="center"/>
          </w:tcPr>
          <w:p w14:paraId="37EBFC0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6E171D6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6A050DA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07D6EDF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7182321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1C32BBB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59A6306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5FE5F5A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33F7C48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270BB0E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220CBEC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6" w:type="pct"/>
            <w:tcBorders>
              <w:top w:val="single" w:color="000000" w:sz="4" w:space="0"/>
              <w:left w:val="single" w:color="000000" w:sz="4" w:space="0"/>
              <w:bottom w:val="single" w:color="000000" w:sz="4" w:space="0"/>
              <w:right w:val="single" w:color="000000" w:sz="4" w:space="0"/>
            </w:tcBorders>
            <w:noWrap/>
            <w:vAlign w:val="center"/>
          </w:tcPr>
          <w:p w14:paraId="32CACC1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73BEB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60B6B84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0D2E079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现金流出</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307AC0F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17520.89</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3D38428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5FA8B00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4D8647B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525.79</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0C716E5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530.40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05BB4AA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533.19</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11EA2F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543.72</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7A7800B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546.51</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68E7E70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549.30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65EA9A2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560.07</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0A76D99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562.86</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1CD643F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565.65</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C01DC0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576.65</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4504DB1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579.44</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B34BC8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582.24</w:t>
            </w:r>
          </w:p>
        </w:tc>
        <w:tc>
          <w:tcPr>
            <w:tcW w:w="256" w:type="pct"/>
            <w:tcBorders>
              <w:top w:val="single" w:color="000000" w:sz="4" w:space="0"/>
              <w:left w:val="single" w:color="000000" w:sz="4" w:space="0"/>
              <w:bottom w:val="single" w:color="000000" w:sz="4" w:space="0"/>
              <w:right w:val="single" w:color="000000" w:sz="4" w:space="0"/>
            </w:tcBorders>
            <w:noWrap w:val="0"/>
            <w:vAlign w:val="center"/>
          </w:tcPr>
          <w:p w14:paraId="71B7054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593.48</w:t>
            </w:r>
          </w:p>
        </w:tc>
      </w:tr>
      <w:tr w14:paraId="504CD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7DC7A44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2.1</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736B153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经营成本</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4741CA6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17520.89</w:t>
            </w:r>
          </w:p>
        </w:tc>
        <w:tc>
          <w:tcPr>
            <w:tcW w:w="253" w:type="pct"/>
            <w:tcBorders>
              <w:top w:val="single" w:color="000000" w:sz="4" w:space="0"/>
              <w:left w:val="single" w:color="000000" w:sz="4" w:space="0"/>
              <w:bottom w:val="single" w:color="000000" w:sz="4" w:space="0"/>
              <w:right w:val="single" w:color="000000" w:sz="4" w:space="0"/>
            </w:tcBorders>
            <w:noWrap/>
            <w:vAlign w:val="center"/>
          </w:tcPr>
          <w:p w14:paraId="30C3E78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noWrap/>
            <w:vAlign w:val="center"/>
          </w:tcPr>
          <w:p w14:paraId="1D7F91D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ign w:val="center"/>
          </w:tcPr>
          <w:p w14:paraId="2F37DA4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525.79</w:t>
            </w:r>
          </w:p>
        </w:tc>
        <w:tc>
          <w:tcPr>
            <w:tcW w:w="242" w:type="pct"/>
            <w:tcBorders>
              <w:top w:val="single" w:color="000000" w:sz="4" w:space="0"/>
              <w:left w:val="single" w:color="000000" w:sz="4" w:space="0"/>
              <w:bottom w:val="single" w:color="000000" w:sz="4" w:space="0"/>
              <w:right w:val="single" w:color="000000" w:sz="4" w:space="0"/>
            </w:tcBorders>
            <w:noWrap/>
            <w:vAlign w:val="center"/>
          </w:tcPr>
          <w:p w14:paraId="3125836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530.40</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0434383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533.19</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5508250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543.72</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3DCCEB9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546.51</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2831598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549.30</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3A4C7BE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560.07</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370847A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562.86</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0C6F742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565.65</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11E66E8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576.65</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1772BFD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579.44</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0E0A5D5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582.24</w:t>
            </w:r>
          </w:p>
        </w:tc>
        <w:tc>
          <w:tcPr>
            <w:tcW w:w="256" w:type="pct"/>
            <w:tcBorders>
              <w:top w:val="single" w:color="000000" w:sz="4" w:space="0"/>
              <w:left w:val="single" w:color="000000" w:sz="4" w:space="0"/>
              <w:bottom w:val="single" w:color="000000" w:sz="4" w:space="0"/>
              <w:right w:val="single" w:color="000000" w:sz="4" w:space="0"/>
            </w:tcBorders>
            <w:noWrap/>
            <w:vAlign w:val="center"/>
          </w:tcPr>
          <w:p w14:paraId="3095492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593.48</w:t>
            </w:r>
          </w:p>
        </w:tc>
      </w:tr>
      <w:tr w14:paraId="511AA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68D435A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2.2</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24A2671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相关税费（成本税</w:t>
            </w:r>
            <w:r>
              <w:rPr>
                <w:rFonts w:hint="default" w:ascii="Times New Roman" w:hAnsi="Times New Roman" w:eastAsia="仿宋" w:cs="Times New Roman"/>
                <w:i w:val="0"/>
                <w:iCs w:val="0"/>
                <w:color w:val="000000"/>
                <w:kern w:val="0"/>
                <w:sz w:val="16"/>
                <w:szCs w:val="16"/>
                <w:u w:val="none"/>
                <w:lang w:val="en-US" w:eastAsia="zh-CN" w:bidi="ar"/>
              </w:rPr>
              <w:t>+</w:t>
            </w:r>
            <w:r>
              <w:rPr>
                <w:rFonts w:hint="eastAsia" w:ascii="仿宋" w:hAnsi="仿宋" w:eastAsia="仿宋" w:cs="仿宋"/>
                <w:i w:val="0"/>
                <w:iCs w:val="0"/>
                <w:color w:val="000000"/>
                <w:kern w:val="0"/>
                <w:sz w:val="16"/>
                <w:szCs w:val="16"/>
                <w:u w:val="none"/>
                <w:lang w:val="en-US" w:eastAsia="zh-CN" w:bidi="ar"/>
              </w:rPr>
              <w:t>企业所得税）</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3F026F7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53" w:type="pct"/>
            <w:tcBorders>
              <w:top w:val="single" w:color="000000" w:sz="4" w:space="0"/>
              <w:left w:val="single" w:color="000000" w:sz="4" w:space="0"/>
              <w:bottom w:val="single" w:color="000000" w:sz="4" w:space="0"/>
              <w:right w:val="single" w:color="000000" w:sz="4" w:space="0"/>
            </w:tcBorders>
            <w:noWrap/>
            <w:vAlign w:val="center"/>
          </w:tcPr>
          <w:p w14:paraId="4A33AE9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noWrap/>
            <w:vAlign w:val="center"/>
          </w:tcPr>
          <w:p w14:paraId="032FA54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ign w:val="center"/>
          </w:tcPr>
          <w:p w14:paraId="2CDDF74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42" w:type="pct"/>
            <w:tcBorders>
              <w:top w:val="single" w:color="000000" w:sz="4" w:space="0"/>
              <w:left w:val="single" w:color="000000" w:sz="4" w:space="0"/>
              <w:bottom w:val="single" w:color="000000" w:sz="4" w:space="0"/>
              <w:right w:val="single" w:color="000000" w:sz="4" w:space="0"/>
            </w:tcBorders>
            <w:noWrap/>
            <w:vAlign w:val="center"/>
          </w:tcPr>
          <w:p w14:paraId="153AE8D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6BD5CD1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1A418F1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777E149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6208EB4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352B4B9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24049D1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4215893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3A860BC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4D18CE6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2C777FB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56" w:type="pct"/>
            <w:tcBorders>
              <w:top w:val="single" w:color="000000" w:sz="4" w:space="0"/>
              <w:left w:val="single" w:color="000000" w:sz="4" w:space="0"/>
              <w:bottom w:val="single" w:color="000000" w:sz="4" w:space="0"/>
              <w:right w:val="single" w:color="000000" w:sz="4" w:space="0"/>
            </w:tcBorders>
            <w:noWrap/>
            <w:vAlign w:val="center"/>
          </w:tcPr>
          <w:p w14:paraId="36213B8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r>
      <w:tr w14:paraId="0BE44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664B09C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二</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4386642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投资活动净现金流量</w:t>
            </w:r>
            <w:r>
              <w:rPr>
                <w:rFonts w:hint="default" w:ascii="Times New Roman" w:hAnsi="Times New Roman" w:eastAsia="仿宋" w:cs="Times New Roman"/>
                <w:b/>
                <w:bCs/>
                <w:i w:val="0"/>
                <w:iCs w:val="0"/>
                <w:color w:val="000000"/>
                <w:kern w:val="0"/>
                <w:sz w:val="16"/>
                <w:szCs w:val="16"/>
                <w:u w:val="none"/>
                <w:lang w:val="en-US" w:eastAsia="zh-CN" w:bidi="ar"/>
              </w:rPr>
              <w:br w:type="textWrapping"/>
            </w:r>
            <w:r>
              <w:rPr>
                <w:rFonts w:hint="eastAsia" w:ascii="仿宋" w:hAnsi="仿宋" w:eastAsia="仿宋" w:cs="仿宋"/>
                <w:b/>
                <w:bCs/>
                <w:i w:val="0"/>
                <w:iCs w:val="0"/>
                <w:color w:val="000000"/>
                <w:kern w:val="0"/>
                <w:sz w:val="16"/>
                <w:szCs w:val="16"/>
                <w:u w:val="none"/>
                <w:lang w:val="en-US" w:eastAsia="zh-CN" w:bidi="ar"/>
              </w:rPr>
              <w:t>（</w:t>
            </w:r>
            <w:r>
              <w:rPr>
                <w:rFonts w:hint="default" w:ascii="Times New Roman" w:hAnsi="Times New Roman" w:eastAsia="仿宋" w:cs="Times New Roman"/>
                <w:b/>
                <w:bCs/>
                <w:i w:val="0"/>
                <w:iCs w:val="0"/>
                <w:color w:val="000000"/>
                <w:kern w:val="0"/>
                <w:sz w:val="16"/>
                <w:szCs w:val="16"/>
                <w:u w:val="none"/>
                <w:lang w:val="en-US" w:eastAsia="zh-CN" w:bidi="ar"/>
              </w:rPr>
              <w:t>1-2</w:t>
            </w:r>
            <w:r>
              <w:rPr>
                <w:rFonts w:hint="eastAsia" w:ascii="仿宋" w:hAnsi="仿宋" w:eastAsia="仿宋" w:cs="仿宋"/>
                <w:b/>
                <w:bCs/>
                <w:i w:val="0"/>
                <w:iCs w:val="0"/>
                <w:color w:val="000000"/>
                <w:kern w:val="0"/>
                <w:sz w:val="16"/>
                <w:szCs w:val="16"/>
                <w:u w:val="none"/>
                <w:lang w:val="en-US" w:eastAsia="zh-CN" w:bidi="ar"/>
              </w:rPr>
              <w:t>）</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2FFD6FC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-6348.40</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528349F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-2977.50</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0F53B7F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-3370.90</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35FD258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b/>
                <w:bCs/>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7E10E20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1F3E796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058C177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638DCBC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1535264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09CEE67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6A715BA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19D35B8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606B8A7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23191CE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21B3BFA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6" w:type="pct"/>
            <w:tcBorders>
              <w:top w:val="single" w:color="000000" w:sz="4" w:space="0"/>
              <w:left w:val="single" w:color="000000" w:sz="4" w:space="0"/>
              <w:bottom w:val="single" w:color="000000" w:sz="4" w:space="0"/>
              <w:right w:val="single" w:color="000000" w:sz="4" w:space="0"/>
            </w:tcBorders>
            <w:noWrap/>
            <w:vAlign w:val="center"/>
          </w:tcPr>
          <w:p w14:paraId="1FD92B4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7300C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361C97E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5099E0F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现金流入</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1442F46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0772959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1CA1D0B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2EF3976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0E5BD62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4811F76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4321FA3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802C87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70ADF45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21F4857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DD0515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0B1A0C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2618E93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2326226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05FF20F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6" w:type="pct"/>
            <w:tcBorders>
              <w:top w:val="single" w:color="000000" w:sz="4" w:space="0"/>
              <w:left w:val="single" w:color="000000" w:sz="4" w:space="0"/>
              <w:bottom w:val="single" w:color="000000" w:sz="4" w:space="0"/>
              <w:right w:val="single" w:color="000000" w:sz="4" w:space="0"/>
            </w:tcBorders>
            <w:noWrap/>
            <w:vAlign w:val="center"/>
          </w:tcPr>
          <w:p w14:paraId="28E671E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3C70D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0A8B241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1.1</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282303F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处置投资物</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03101DD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42E82D9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46627FC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3AEA878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6873985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E135E9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6C0D19D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437FCF1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140FA4E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15540AD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063CAA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6EE339F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714342F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6962857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6219F1D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6" w:type="pct"/>
            <w:tcBorders>
              <w:top w:val="single" w:color="000000" w:sz="4" w:space="0"/>
              <w:left w:val="single" w:color="000000" w:sz="4" w:space="0"/>
              <w:bottom w:val="single" w:color="000000" w:sz="4" w:space="0"/>
              <w:right w:val="single" w:color="000000" w:sz="4" w:space="0"/>
            </w:tcBorders>
            <w:noWrap/>
            <w:vAlign w:val="center"/>
          </w:tcPr>
          <w:p w14:paraId="37BA197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38BC8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7041474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1.2</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5959356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收到其他投资</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547A55B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4163657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5CE982C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384633F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54E254E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0146821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6C17A7A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2BEF56F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6D63B48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7CE5E17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6DB9089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9CDF1B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2453428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2D3136F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373E4A9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6" w:type="pct"/>
            <w:tcBorders>
              <w:top w:val="single" w:color="000000" w:sz="4" w:space="0"/>
              <w:left w:val="single" w:color="000000" w:sz="4" w:space="0"/>
              <w:bottom w:val="single" w:color="000000" w:sz="4" w:space="0"/>
              <w:right w:val="single" w:color="000000" w:sz="4" w:space="0"/>
            </w:tcBorders>
            <w:noWrap/>
            <w:vAlign w:val="center"/>
          </w:tcPr>
          <w:p w14:paraId="10F527B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43009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2CB0FF4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3BC23AD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现金流出</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7DC208C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6348.40</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1B17ABC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2977.50</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3A2EDA6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3370.90</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37208DE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4D02AB3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113B898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180A4B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2615D8E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72F2EB3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AC58A0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6C016C2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8E8C12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58F950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1ABBE7F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7858910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6" w:type="pct"/>
            <w:tcBorders>
              <w:top w:val="single" w:color="000000" w:sz="4" w:space="0"/>
              <w:left w:val="single" w:color="000000" w:sz="4" w:space="0"/>
              <w:bottom w:val="single" w:color="000000" w:sz="4" w:space="0"/>
              <w:right w:val="single" w:color="000000" w:sz="4" w:space="0"/>
            </w:tcBorders>
            <w:noWrap/>
            <w:vAlign w:val="center"/>
          </w:tcPr>
          <w:p w14:paraId="21CF46C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150F9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0C35108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2.1</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27F35FD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建设投资</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396108E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6348.40</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0DEE378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2977.50</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17CA899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3370.90</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39845A0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7B310CD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F6BA12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F54668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2B0C15F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2F9E77F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03538CD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7004D2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592BA3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0E205B9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596DD74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29A8BEB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6" w:type="pct"/>
            <w:tcBorders>
              <w:top w:val="single" w:color="000000" w:sz="4" w:space="0"/>
              <w:left w:val="single" w:color="000000" w:sz="4" w:space="0"/>
              <w:bottom w:val="single" w:color="000000" w:sz="4" w:space="0"/>
              <w:right w:val="single" w:color="000000" w:sz="4" w:space="0"/>
            </w:tcBorders>
            <w:noWrap/>
            <w:vAlign w:val="center"/>
          </w:tcPr>
          <w:p w14:paraId="2B137C9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6FF51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4BC5EA1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2.2</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388C728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维持运营投资</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6E1C000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542D875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1387BFC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24941AA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34FF97D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F97E02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5E4E82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604955D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78D6A66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446373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10DC099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2462A2F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47F3AAE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0C0524E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2A14193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6" w:type="pct"/>
            <w:tcBorders>
              <w:top w:val="single" w:color="000000" w:sz="4" w:space="0"/>
              <w:left w:val="single" w:color="000000" w:sz="4" w:space="0"/>
              <w:bottom w:val="single" w:color="000000" w:sz="4" w:space="0"/>
              <w:right w:val="single" w:color="000000" w:sz="4" w:space="0"/>
            </w:tcBorders>
            <w:noWrap/>
            <w:vAlign w:val="center"/>
          </w:tcPr>
          <w:p w14:paraId="17C40E4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58A9D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52E569A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三</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4978539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筹措活动净现金流量</w:t>
            </w:r>
            <w:r>
              <w:rPr>
                <w:rFonts w:hint="default" w:ascii="Times New Roman" w:hAnsi="Times New Roman" w:eastAsia="仿宋" w:cs="Times New Roman"/>
                <w:b/>
                <w:bCs/>
                <w:i w:val="0"/>
                <w:iCs w:val="0"/>
                <w:color w:val="000000"/>
                <w:kern w:val="0"/>
                <w:sz w:val="16"/>
                <w:szCs w:val="16"/>
                <w:u w:val="none"/>
                <w:lang w:val="en-US" w:eastAsia="zh-CN" w:bidi="ar"/>
              </w:rPr>
              <w:br w:type="textWrapping"/>
            </w:r>
            <w:r>
              <w:rPr>
                <w:rFonts w:hint="eastAsia" w:ascii="仿宋" w:hAnsi="仿宋" w:eastAsia="仿宋" w:cs="仿宋"/>
                <w:b/>
                <w:bCs/>
                <w:i w:val="0"/>
                <w:iCs w:val="0"/>
                <w:color w:val="000000"/>
                <w:kern w:val="0"/>
                <w:sz w:val="16"/>
                <w:szCs w:val="16"/>
                <w:u w:val="none"/>
                <w:lang w:val="en-US" w:eastAsia="zh-CN" w:bidi="ar"/>
              </w:rPr>
              <w:t>（</w:t>
            </w:r>
            <w:r>
              <w:rPr>
                <w:rFonts w:hint="default" w:ascii="Times New Roman" w:hAnsi="Times New Roman" w:eastAsia="仿宋" w:cs="Times New Roman"/>
                <w:b/>
                <w:bCs/>
                <w:i w:val="0"/>
                <w:iCs w:val="0"/>
                <w:color w:val="000000"/>
                <w:kern w:val="0"/>
                <w:sz w:val="16"/>
                <w:szCs w:val="16"/>
                <w:u w:val="none"/>
                <w:lang w:val="en-US" w:eastAsia="zh-CN" w:bidi="ar"/>
              </w:rPr>
              <w:t>1-2</w:t>
            </w:r>
            <w:r>
              <w:rPr>
                <w:rFonts w:hint="eastAsia" w:ascii="仿宋" w:hAnsi="仿宋" w:eastAsia="仿宋" w:cs="仿宋"/>
                <w:b/>
                <w:bCs/>
                <w:i w:val="0"/>
                <w:iCs w:val="0"/>
                <w:color w:val="000000"/>
                <w:kern w:val="0"/>
                <w:sz w:val="16"/>
                <w:szCs w:val="16"/>
                <w:u w:val="none"/>
                <w:lang w:val="en-US" w:eastAsia="zh-CN" w:bidi="ar"/>
              </w:rPr>
              <w:t>）</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605ECE7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-3597.20</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1584D45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2977.50</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0A195F4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3370.90</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7504506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5A9E496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45068B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06DE5F5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4C7B24E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0967054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086C19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2B23D6B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67E5CA9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43C55C4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6DD63EA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1B00757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56" w:type="pct"/>
            <w:tcBorders>
              <w:top w:val="single" w:color="000000" w:sz="4" w:space="0"/>
              <w:left w:val="single" w:color="000000" w:sz="4" w:space="0"/>
              <w:bottom w:val="single" w:color="000000" w:sz="4" w:space="0"/>
              <w:right w:val="single" w:color="000000" w:sz="4" w:space="0"/>
            </w:tcBorders>
            <w:noWrap w:val="0"/>
            <w:vAlign w:val="center"/>
          </w:tcPr>
          <w:p w14:paraId="042B607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r>
      <w:tr w14:paraId="02636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7976658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69A1942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现金流入</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17EFC84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6600.00</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107D195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3060.00</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330C2BB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3540.00</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4F3B641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0430F1B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0B9F40E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2E9EE71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6BA11C3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49C5DAB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707BBC5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951009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00EEF6A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4132415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044926C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70F574B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6" w:type="pct"/>
            <w:tcBorders>
              <w:top w:val="single" w:color="000000" w:sz="4" w:space="0"/>
              <w:left w:val="single" w:color="000000" w:sz="4" w:space="0"/>
              <w:bottom w:val="single" w:color="000000" w:sz="4" w:space="0"/>
              <w:right w:val="single" w:color="000000" w:sz="4" w:space="0"/>
            </w:tcBorders>
            <w:noWrap w:val="0"/>
            <w:vAlign w:val="center"/>
          </w:tcPr>
          <w:p w14:paraId="17AD456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4D3BB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48C7092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1.1</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2CCB66A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项目资本金投入</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6B77059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1400.00</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087D44C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560.00</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6499607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840.00</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08010AE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3C6B4A1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4DD3E67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DD60FC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25B1746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4591599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4F1DA14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E7604C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B56551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4E1C15D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394B70F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17E3452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6" w:type="pct"/>
            <w:tcBorders>
              <w:top w:val="single" w:color="000000" w:sz="4" w:space="0"/>
              <w:left w:val="single" w:color="000000" w:sz="4" w:space="0"/>
              <w:bottom w:val="single" w:color="000000" w:sz="4" w:space="0"/>
              <w:right w:val="single" w:color="000000" w:sz="4" w:space="0"/>
            </w:tcBorders>
            <w:noWrap/>
            <w:vAlign w:val="center"/>
          </w:tcPr>
          <w:p w14:paraId="525A3FC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7EAAD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02F1911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1.2</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12FC2DC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专项债券资金</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7258702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5200.00</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509DD63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2500.00</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32DABD7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2700.00</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421D62B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29D631B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152C9F2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306877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758C590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D4C55F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61DE66C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1C57443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2B90C11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BB98C3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7E2D4F7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434CADC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6" w:type="pct"/>
            <w:tcBorders>
              <w:top w:val="single" w:color="000000" w:sz="4" w:space="0"/>
              <w:left w:val="single" w:color="000000" w:sz="4" w:space="0"/>
              <w:bottom w:val="single" w:color="000000" w:sz="4" w:space="0"/>
              <w:right w:val="single" w:color="000000" w:sz="4" w:space="0"/>
            </w:tcBorders>
            <w:noWrap/>
            <w:vAlign w:val="center"/>
          </w:tcPr>
          <w:p w14:paraId="7625E01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7DCFE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633B764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6809137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现金流出</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08C26D9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10197.20</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5E24DB0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82.50</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0CB9A8D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169.10</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3DC24F6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3A6416C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14009F8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04571B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921B38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0C2BB45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1F1FCA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29AF96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07B442D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60871E3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463640B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D0CC13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56" w:type="pct"/>
            <w:tcBorders>
              <w:top w:val="single" w:color="000000" w:sz="4" w:space="0"/>
              <w:left w:val="single" w:color="000000" w:sz="4" w:space="0"/>
              <w:bottom w:val="single" w:color="000000" w:sz="4" w:space="0"/>
              <w:right w:val="single" w:color="000000" w:sz="4" w:space="0"/>
            </w:tcBorders>
            <w:noWrap w:val="0"/>
            <w:vAlign w:val="center"/>
          </w:tcPr>
          <w:p w14:paraId="17A6D82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r>
      <w:tr w14:paraId="5D72F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310CE78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2.1</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0F6E1D0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支付债券利息</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1DB6C33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4992.00</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20C58EB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80.00</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6C4B6E9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104D0D5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50EF044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5A15C8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4056B88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6CB551D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B0EDD5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243B662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1AF5A45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02D83F3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0A55B8C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66A770C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0838D0B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56" w:type="pct"/>
            <w:tcBorders>
              <w:top w:val="single" w:color="000000" w:sz="4" w:space="0"/>
              <w:left w:val="single" w:color="000000" w:sz="4" w:space="0"/>
              <w:bottom w:val="single" w:color="000000" w:sz="4" w:space="0"/>
              <w:right w:val="single" w:color="000000" w:sz="4" w:space="0"/>
            </w:tcBorders>
            <w:noWrap w:val="0"/>
            <w:vAlign w:val="center"/>
          </w:tcPr>
          <w:p w14:paraId="58A08FD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r>
      <w:tr w14:paraId="0AD38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6BF1090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2.2</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12F47BB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支付债券发行费用</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5C5C868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5.20</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32D349B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2.50</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2C9122A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2.70</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2C325CB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5A7B5E4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853379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4D47A3B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160DBBC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1FAC2FE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294E616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292D80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16A5CB0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714A26D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49B7685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05D6E9C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6" w:type="pct"/>
            <w:tcBorders>
              <w:top w:val="single" w:color="000000" w:sz="4" w:space="0"/>
              <w:left w:val="single" w:color="000000" w:sz="4" w:space="0"/>
              <w:bottom w:val="single" w:color="000000" w:sz="4" w:space="0"/>
              <w:right w:val="single" w:color="000000" w:sz="4" w:space="0"/>
            </w:tcBorders>
            <w:noWrap/>
            <w:vAlign w:val="center"/>
          </w:tcPr>
          <w:p w14:paraId="24FA72E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715F9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0C3AC9E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2.3</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00DF651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支付专项债券本金</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472FA50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5200.00</w:t>
            </w: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3A893F8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16D04DC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7B10CF7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6F7C89C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57085B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00FEC0E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262DCDB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2E87712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C06DC2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B65312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6A13DEB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28E9C13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784A09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2311C16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6" w:type="pct"/>
            <w:tcBorders>
              <w:top w:val="single" w:color="000000" w:sz="4" w:space="0"/>
              <w:left w:val="single" w:color="000000" w:sz="4" w:space="0"/>
              <w:bottom w:val="single" w:color="000000" w:sz="4" w:space="0"/>
              <w:right w:val="single" w:color="000000" w:sz="4" w:space="0"/>
            </w:tcBorders>
            <w:noWrap w:val="0"/>
            <w:vAlign w:val="center"/>
          </w:tcPr>
          <w:p w14:paraId="3B3FC85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653D4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3186E47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四</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5DA6DD2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现金流量总计</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4DBA9A1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548B12B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b/>
                <w:bCs/>
                <w:i w:val="0"/>
                <w:iCs w:val="0"/>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noWrap w:val="0"/>
            <w:vAlign w:val="center"/>
          </w:tcPr>
          <w:p w14:paraId="447558A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b/>
                <w:bCs/>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3753152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b/>
                <w:bCs/>
                <w:i w:val="0"/>
                <w:iCs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6209CC7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57E8DE5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7CCE94A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C54C87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61221EE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19605AF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34A173D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5622717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7FBE324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7E2F277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0BF8D52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6" w:type="pct"/>
            <w:tcBorders>
              <w:top w:val="single" w:color="000000" w:sz="4" w:space="0"/>
              <w:left w:val="single" w:color="000000" w:sz="4" w:space="0"/>
              <w:bottom w:val="single" w:color="000000" w:sz="4" w:space="0"/>
              <w:right w:val="single" w:color="000000" w:sz="4" w:space="0"/>
            </w:tcBorders>
            <w:noWrap/>
            <w:vAlign w:val="center"/>
          </w:tcPr>
          <w:p w14:paraId="2767D89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662FA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6E921F9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158F713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项目期的期初资金</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22B212C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noWrap/>
            <w:vAlign w:val="center"/>
          </w:tcPr>
          <w:p w14:paraId="6E16671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53" w:type="pct"/>
            <w:tcBorders>
              <w:top w:val="single" w:color="000000" w:sz="4" w:space="0"/>
              <w:left w:val="single" w:color="000000" w:sz="4" w:space="0"/>
              <w:bottom w:val="single" w:color="000000" w:sz="4" w:space="0"/>
              <w:right w:val="single" w:color="000000" w:sz="4" w:space="0"/>
            </w:tcBorders>
            <w:noWrap/>
            <w:vAlign w:val="center"/>
          </w:tcPr>
          <w:p w14:paraId="0824A96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42" w:type="pct"/>
            <w:tcBorders>
              <w:top w:val="single" w:color="000000" w:sz="4" w:space="0"/>
              <w:left w:val="single" w:color="000000" w:sz="4" w:space="0"/>
              <w:bottom w:val="single" w:color="000000" w:sz="4" w:space="0"/>
              <w:right w:val="single" w:color="000000" w:sz="4" w:space="0"/>
            </w:tcBorders>
            <w:noWrap/>
            <w:vAlign w:val="center"/>
          </w:tcPr>
          <w:p w14:paraId="0FCC886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42" w:type="pct"/>
            <w:tcBorders>
              <w:top w:val="single" w:color="000000" w:sz="4" w:space="0"/>
              <w:left w:val="single" w:color="000000" w:sz="4" w:space="0"/>
              <w:bottom w:val="single" w:color="000000" w:sz="4" w:space="0"/>
              <w:right w:val="single" w:color="000000" w:sz="4" w:space="0"/>
            </w:tcBorders>
            <w:noWrap/>
            <w:vAlign w:val="center"/>
          </w:tcPr>
          <w:p w14:paraId="0552C9E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229.01</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4F8A08B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453.41</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0862C8C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675.02</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389978C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913.74</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0D3BE71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1149.67</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6146878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1382.81</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1686B29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1633.64</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26EFE37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1881.68</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44580BF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2126.93</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7739D8C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2390.50</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626C7C2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2651.28</w:t>
            </w:r>
          </w:p>
        </w:tc>
        <w:tc>
          <w:tcPr>
            <w:tcW w:w="256" w:type="pct"/>
            <w:tcBorders>
              <w:top w:val="single" w:color="000000" w:sz="4" w:space="0"/>
              <w:left w:val="single" w:color="000000" w:sz="4" w:space="0"/>
              <w:bottom w:val="single" w:color="000000" w:sz="4" w:space="0"/>
              <w:right w:val="single" w:color="000000" w:sz="4" w:space="0"/>
            </w:tcBorders>
            <w:noWrap/>
            <w:vAlign w:val="center"/>
          </w:tcPr>
          <w:p w14:paraId="38862AF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2909.26</w:t>
            </w:r>
          </w:p>
        </w:tc>
      </w:tr>
      <w:tr w14:paraId="3615F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7245B5D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7A10178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项目期内现金变动（一</w:t>
            </w:r>
            <w:r>
              <w:rPr>
                <w:rFonts w:hint="default" w:ascii="Times New Roman" w:hAnsi="Times New Roman" w:eastAsia="仿宋" w:cs="Times New Roman"/>
                <w:i w:val="0"/>
                <w:iCs w:val="0"/>
                <w:color w:val="000000"/>
                <w:kern w:val="0"/>
                <w:sz w:val="16"/>
                <w:szCs w:val="16"/>
                <w:u w:val="none"/>
                <w:lang w:val="en-US" w:eastAsia="zh-CN" w:bidi="ar"/>
              </w:rPr>
              <w:t>+</w:t>
            </w:r>
            <w:r>
              <w:rPr>
                <w:rFonts w:hint="eastAsia" w:ascii="仿宋" w:hAnsi="仿宋" w:eastAsia="仿宋" w:cs="仿宋"/>
                <w:i w:val="0"/>
                <w:iCs w:val="0"/>
                <w:color w:val="000000"/>
                <w:kern w:val="0"/>
                <w:sz w:val="16"/>
                <w:szCs w:val="16"/>
                <w:u w:val="none"/>
                <w:lang w:val="en-US" w:eastAsia="zh-CN" w:bidi="ar"/>
              </w:rPr>
              <w:t>二</w:t>
            </w:r>
            <w:r>
              <w:rPr>
                <w:rFonts w:hint="default" w:ascii="Times New Roman" w:hAnsi="Times New Roman" w:eastAsia="仿宋" w:cs="Times New Roman"/>
                <w:i w:val="0"/>
                <w:iCs w:val="0"/>
                <w:color w:val="000000"/>
                <w:kern w:val="0"/>
                <w:sz w:val="16"/>
                <w:szCs w:val="16"/>
                <w:u w:val="none"/>
                <w:lang w:val="en-US" w:eastAsia="zh-CN" w:bidi="ar"/>
              </w:rPr>
              <w:t>+</w:t>
            </w:r>
            <w:r>
              <w:rPr>
                <w:rFonts w:hint="eastAsia" w:ascii="仿宋" w:hAnsi="仿宋" w:eastAsia="仿宋" w:cs="仿宋"/>
                <w:i w:val="0"/>
                <w:iCs w:val="0"/>
                <w:color w:val="000000"/>
                <w:kern w:val="0"/>
                <w:sz w:val="16"/>
                <w:szCs w:val="16"/>
                <w:u w:val="none"/>
                <w:lang w:val="en-US" w:eastAsia="zh-CN" w:bidi="ar"/>
              </w:rPr>
              <w:t>三）</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1416C5B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3013.17</w:t>
            </w:r>
          </w:p>
        </w:tc>
        <w:tc>
          <w:tcPr>
            <w:tcW w:w="253" w:type="pct"/>
            <w:tcBorders>
              <w:top w:val="single" w:color="000000" w:sz="4" w:space="0"/>
              <w:left w:val="single" w:color="000000" w:sz="4" w:space="0"/>
              <w:bottom w:val="single" w:color="000000" w:sz="4" w:space="0"/>
              <w:right w:val="single" w:color="000000" w:sz="4" w:space="0"/>
            </w:tcBorders>
            <w:noWrap/>
            <w:vAlign w:val="center"/>
          </w:tcPr>
          <w:p w14:paraId="12D692E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53" w:type="pct"/>
            <w:tcBorders>
              <w:top w:val="single" w:color="000000" w:sz="4" w:space="0"/>
              <w:left w:val="single" w:color="000000" w:sz="4" w:space="0"/>
              <w:bottom w:val="single" w:color="000000" w:sz="4" w:space="0"/>
              <w:right w:val="single" w:color="000000" w:sz="4" w:space="0"/>
            </w:tcBorders>
            <w:noWrap/>
            <w:vAlign w:val="center"/>
          </w:tcPr>
          <w:p w14:paraId="0C8BB9C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42" w:type="pct"/>
            <w:tcBorders>
              <w:top w:val="single" w:color="000000" w:sz="4" w:space="0"/>
              <w:left w:val="single" w:color="000000" w:sz="4" w:space="0"/>
              <w:bottom w:val="single" w:color="000000" w:sz="4" w:space="0"/>
              <w:right w:val="single" w:color="000000" w:sz="4" w:space="0"/>
            </w:tcBorders>
            <w:noWrap/>
            <w:vAlign w:val="center"/>
          </w:tcPr>
          <w:p w14:paraId="0792EBE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229.01</w:t>
            </w:r>
          </w:p>
        </w:tc>
        <w:tc>
          <w:tcPr>
            <w:tcW w:w="242" w:type="pct"/>
            <w:tcBorders>
              <w:top w:val="single" w:color="000000" w:sz="4" w:space="0"/>
              <w:left w:val="single" w:color="000000" w:sz="4" w:space="0"/>
              <w:bottom w:val="single" w:color="000000" w:sz="4" w:space="0"/>
              <w:right w:val="single" w:color="000000" w:sz="4" w:space="0"/>
            </w:tcBorders>
            <w:noWrap/>
            <w:vAlign w:val="center"/>
          </w:tcPr>
          <w:p w14:paraId="1037C2F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224.40</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604FF66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221.61</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73DE463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238.72</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68542AE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235.93</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457881B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233.14</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54F5961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250.83</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0B073AB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248.04</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33E97CA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245.25</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1EEC787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263.57</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211EC69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260.78</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7D6FFFD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257.98</w:t>
            </w:r>
          </w:p>
        </w:tc>
        <w:tc>
          <w:tcPr>
            <w:tcW w:w="256" w:type="pct"/>
            <w:tcBorders>
              <w:top w:val="single" w:color="000000" w:sz="4" w:space="0"/>
              <w:left w:val="single" w:color="000000" w:sz="4" w:space="0"/>
              <w:bottom w:val="single" w:color="000000" w:sz="4" w:space="0"/>
              <w:right w:val="single" w:color="000000" w:sz="4" w:space="0"/>
            </w:tcBorders>
            <w:noWrap/>
            <w:vAlign w:val="center"/>
          </w:tcPr>
          <w:p w14:paraId="4512BC8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276.94</w:t>
            </w:r>
          </w:p>
        </w:tc>
      </w:tr>
      <w:tr w14:paraId="6A490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2" w:type="pct"/>
            <w:tcBorders>
              <w:top w:val="single" w:color="000000" w:sz="4" w:space="0"/>
              <w:left w:val="single" w:color="000000" w:sz="4" w:space="0"/>
              <w:bottom w:val="single" w:color="000000" w:sz="4" w:space="0"/>
              <w:right w:val="single" w:color="000000" w:sz="4" w:space="0"/>
            </w:tcBorders>
            <w:noWrap w:val="0"/>
            <w:vAlign w:val="center"/>
          </w:tcPr>
          <w:p w14:paraId="6BAA306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14:paraId="7972B06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项目期的期末资金</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14:paraId="496A3B9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noWrap/>
            <w:vAlign w:val="center"/>
          </w:tcPr>
          <w:p w14:paraId="7FB2814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53" w:type="pct"/>
            <w:tcBorders>
              <w:top w:val="single" w:color="000000" w:sz="4" w:space="0"/>
              <w:left w:val="single" w:color="000000" w:sz="4" w:space="0"/>
              <w:bottom w:val="single" w:color="000000" w:sz="4" w:space="0"/>
              <w:right w:val="single" w:color="000000" w:sz="4" w:space="0"/>
            </w:tcBorders>
            <w:noWrap/>
            <w:vAlign w:val="center"/>
          </w:tcPr>
          <w:p w14:paraId="7E5AB28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42" w:type="pct"/>
            <w:tcBorders>
              <w:top w:val="single" w:color="000000" w:sz="4" w:space="0"/>
              <w:left w:val="single" w:color="000000" w:sz="4" w:space="0"/>
              <w:bottom w:val="single" w:color="000000" w:sz="4" w:space="0"/>
              <w:right w:val="single" w:color="000000" w:sz="4" w:space="0"/>
            </w:tcBorders>
            <w:noWrap/>
            <w:vAlign w:val="center"/>
          </w:tcPr>
          <w:p w14:paraId="3E1538C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229.01</w:t>
            </w:r>
          </w:p>
        </w:tc>
        <w:tc>
          <w:tcPr>
            <w:tcW w:w="242" w:type="pct"/>
            <w:tcBorders>
              <w:top w:val="single" w:color="000000" w:sz="4" w:space="0"/>
              <w:left w:val="single" w:color="000000" w:sz="4" w:space="0"/>
              <w:bottom w:val="single" w:color="000000" w:sz="4" w:space="0"/>
              <w:right w:val="single" w:color="000000" w:sz="4" w:space="0"/>
            </w:tcBorders>
            <w:noWrap/>
            <w:vAlign w:val="center"/>
          </w:tcPr>
          <w:p w14:paraId="71B5FF8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453.41</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6B68441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675.02</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0DAE643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913.74</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1DAF066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1149.67</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634CA1A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1382.81</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3870437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1633.64</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65A0215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1881.68</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23CDD26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2126.93</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7FDB99C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2390.50</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02CA3B5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2651.28</w:t>
            </w: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4E52F08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2909.26</w:t>
            </w:r>
          </w:p>
        </w:tc>
        <w:tc>
          <w:tcPr>
            <w:tcW w:w="256" w:type="pct"/>
            <w:tcBorders>
              <w:top w:val="single" w:color="000000" w:sz="4" w:space="0"/>
              <w:left w:val="single" w:color="000000" w:sz="4" w:space="0"/>
              <w:bottom w:val="single" w:color="000000" w:sz="4" w:space="0"/>
              <w:right w:val="single" w:color="000000" w:sz="4" w:space="0"/>
            </w:tcBorders>
            <w:noWrap/>
            <w:vAlign w:val="center"/>
          </w:tcPr>
          <w:p w14:paraId="03C21FC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3186.20</w:t>
            </w:r>
          </w:p>
        </w:tc>
      </w:tr>
    </w:tbl>
    <w:p w14:paraId="107196CF">
      <w:pPr>
        <w:ind w:left="0" w:leftChars="0" w:firstLine="0" w:firstLineChars="0"/>
        <w:jc w:val="left"/>
        <w:rPr>
          <w:rFonts w:hint="eastAsia"/>
          <w:color w:val="FF0000"/>
          <w:lang w:val="en-US" w:eastAsia="zh-CN"/>
        </w:rPr>
      </w:pPr>
      <w:r>
        <w:rPr>
          <w:rFonts w:hint="eastAsia"/>
          <w:color w:val="FF0000"/>
          <w:lang w:val="en-US" w:eastAsia="zh-CN"/>
        </w:rPr>
        <w:br w:type="page"/>
      </w:r>
    </w:p>
    <w:p w14:paraId="44F5508A">
      <w:pPr>
        <w:ind w:left="0" w:leftChars="0" w:firstLine="0" w:firstLineChars="0"/>
        <w:rPr>
          <w:rFonts w:hint="eastAsia"/>
          <w:color w:val="auto"/>
          <w:lang w:val="en-US" w:eastAsia="zh-CN"/>
        </w:rPr>
      </w:pPr>
      <w:r>
        <w:rPr>
          <w:rFonts w:hint="eastAsia"/>
          <w:color w:val="auto"/>
          <w:lang w:val="en-US" w:eastAsia="zh-CN"/>
        </w:rPr>
        <w:t>续上表：</w:t>
      </w:r>
    </w:p>
    <w:tbl>
      <w:tblPr>
        <w:tblStyle w:val="15"/>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1"/>
        <w:gridCol w:w="2553"/>
        <w:gridCol w:w="761"/>
        <w:gridCol w:w="762"/>
        <w:gridCol w:w="762"/>
        <w:gridCol w:w="762"/>
        <w:gridCol w:w="762"/>
        <w:gridCol w:w="762"/>
        <w:gridCol w:w="762"/>
        <w:gridCol w:w="762"/>
        <w:gridCol w:w="762"/>
        <w:gridCol w:w="762"/>
        <w:gridCol w:w="762"/>
        <w:gridCol w:w="762"/>
        <w:gridCol w:w="762"/>
        <w:gridCol w:w="762"/>
        <w:gridCol w:w="790"/>
        <w:gridCol w:w="840"/>
      </w:tblGrid>
      <w:tr w14:paraId="79107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blHeader/>
          <w:jc w:val="center"/>
        </w:trPr>
        <w:tc>
          <w:tcPr>
            <w:tcW w:w="244" w:type="pct"/>
            <w:vMerge w:val="restart"/>
            <w:tcBorders>
              <w:top w:val="single" w:color="000000" w:sz="4" w:space="0"/>
              <w:left w:val="single" w:color="000000" w:sz="4" w:space="0"/>
              <w:bottom w:val="single" w:color="000000" w:sz="4" w:space="0"/>
              <w:right w:val="single" w:color="000000" w:sz="4" w:space="0"/>
            </w:tcBorders>
            <w:noWrap/>
            <w:vAlign w:val="center"/>
          </w:tcPr>
          <w:p w14:paraId="5E3F2C7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序号</w:t>
            </w:r>
          </w:p>
        </w:tc>
        <w:tc>
          <w:tcPr>
            <w:tcW w:w="818" w:type="pct"/>
            <w:vMerge w:val="restart"/>
            <w:tcBorders>
              <w:top w:val="single" w:color="000000" w:sz="4" w:space="0"/>
              <w:left w:val="single" w:color="000000" w:sz="4" w:space="0"/>
              <w:bottom w:val="single" w:color="000000" w:sz="4" w:space="0"/>
              <w:right w:val="single" w:color="000000" w:sz="4" w:space="0"/>
            </w:tcBorders>
            <w:noWrap w:val="0"/>
            <w:vAlign w:val="center"/>
          </w:tcPr>
          <w:p w14:paraId="71102BF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项目</w:t>
            </w:r>
          </w:p>
        </w:tc>
        <w:tc>
          <w:tcPr>
            <w:tcW w:w="3937" w:type="pct"/>
            <w:gridSpan w:val="16"/>
            <w:tcBorders>
              <w:top w:val="single" w:color="000000" w:sz="4" w:space="0"/>
              <w:left w:val="single" w:color="000000" w:sz="4" w:space="0"/>
              <w:bottom w:val="single" w:color="000000" w:sz="4" w:space="0"/>
              <w:right w:val="single" w:color="000000" w:sz="4" w:space="0"/>
            </w:tcBorders>
            <w:noWrap/>
            <w:vAlign w:val="center"/>
          </w:tcPr>
          <w:p w14:paraId="45BAB7A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运营期</w:t>
            </w:r>
          </w:p>
        </w:tc>
      </w:tr>
      <w:tr w14:paraId="5A4D6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blHeader/>
          <w:jc w:val="center"/>
        </w:trPr>
        <w:tc>
          <w:tcPr>
            <w:tcW w:w="244" w:type="pct"/>
            <w:vMerge w:val="continue"/>
            <w:tcBorders>
              <w:top w:val="single" w:color="000000" w:sz="4" w:space="0"/>
              <w:left w:val="single" w:color="000000" w:sz="4" w:space="0"/>
              <w:bottom w:val="single" w:color="000000" w:sz="4" w:space="0"/>
              <w:right w:val="single" w:color="000000" w:sz="4" w:space="0"/>
            </w:tcBorders>
            <w:noWrap/>
            <w:vAlign w:val="center"/>
          </w:tcPr>
          <w:p w14:paraId="00B65B6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b/>
                <w:bCs/>
                <w:i w:val="0"/>
                <w:iCs w:val="0"/>
                <w:color w:val="000000"/>
                <w:sz w:val="16"/>
                <w:szCs w:val="16"/>
                <w:u w:val="none"/>
              </w:rPr>
            </w:pPr>
          </w:p>
        </w:tc>
        <w:tc>
          <w:tcPr>
            <w:tcW w:w="818" w:type="pct"/>
            <w:vMerge w:val="continue"/>
            <w:tcBorders>
              <w:top w:val="single" w:color="000000" w:sz="4" w:space="0"/>
              <w:left w:val="single" w:color="000000" w:sz="4" w:space="0"/>
              <w:bottom w:val="single" w:color="000000" w:sz="4" w:space="0"/>
              <w:right w:val="single" w:color="000000" w:sz="4" w:space="0"/>
            </w:tcBorders>
            <w:noWrap w:val="0"/>
            <w:vAlign w:val="center"/>
          </w:tcPr>
          <w:p w14:paraId="715FD95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b/>
                <w:bCs/>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20AF81E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第14年</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380DA43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第15年</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13B8011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第16年</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0E0F532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第17年</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6342A94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第18年</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356C648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第19年</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130F960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第20年</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1BF09E2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第21年</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292DE54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第22年</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43B595D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第23年</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13FA256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第24年</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1EBCEBA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第25年</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1C1B722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第26年</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6384982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第27年</w:t>
            </w:r>
          </w:p>
        </w:tc>
        <w:tc>
          <w:tcPr>
            <w:tcW w:w="252" w:type="pct"/>
            <w:tcBorders>
              <w:top w:val="single" w:color="000000" w:sz="4" w:space="0"/>
              <w:left w:val="single" w:color="000000" w:sz="4" w:space="0"/>
              <w:bottom w:val="single" w:color="000000" w:sz="4" w:space="0"/>
              <w:right w:val="single" w:color="000000" w:sz="4" w:space="0"/>
            </w:tcBorders>
            <w:noWrap w:val="0"/>
            <w:vAlign w:val="center"/>
          </w:tcPr>
          <w:p w14:paraId="5482FE8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第28年</w:t>
            </w: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6ED71F3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第29年</w:t>
            </w:r>
          </w:p>
        </w:tc>
      </w:tr>
      <w:tr w14:paraId="0A3B8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3FD3579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一</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14198C7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经营活动产生的净现金流量（</w:t>
            </w:r>
            <w:r>
              <w:rPr>
                <w:rFonts w:hint="default" w:ascii="Times New Roman" w:hAnsi="Times New Roman" w:eastAsia="仿宋" w:cs="Times New Roman"/>
                <w:b/>
                <w:bCs/>
                <w:i w:val="0"/>
                <w:iCs w:val="0"/>
                <w:color w:val="000000"/>
                <w:kern w:val="0"/>
                <w:sz w:val="16"/>
                <w:szCs w:val="16"/>
                <w:u w:val="none"/>
                <w:lang w:val="en-US" w:eastAsia="zh-CN" w:bidi="ar"/>
              </w:rPr>
              <w:t>1-2</w:t>
            </w:r>
            <w:r>
              <w:rPr>
                <w:rFonts w:hint="eastAsia" w:ascii="仿宋" w:hAnsi="仿宋" w:eastAsia="仿宋" w:cs="仿宋"/>
                <w:b/>
                <w:bCs/>
                <w:i w:val="0"/>
                <w:iCs w:val="0"/>
                <w:color w:val="000000"/>
                <w:kern w:val="0"/>
                <w:sz w:val="16"/>
                <w:szCs w:val="16"/>
                <w:u w:val="none"/>
                <w:lang w:val="en-US" w:eastAsia="zh-CN" w:bidi="ar"/>
              </w:rPr>
              <w:t>）</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4AED38F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440.56</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2B3B298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437.76</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21B1254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457.37</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004F4A6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454.57</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2E3D644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451.78</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3180E1D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471.56</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30A9031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468.28</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58D80B1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465.01</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340660F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485.42</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14CB96A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482.08</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5181C54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478.73</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0433E3F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499.86</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511126D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496.52</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73F473D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493.16</w:t>
            </w:r>
          </w:p>
        </w:tc>
        <w:tc>
          <w:tcPr>
            <w:tcW w:w="252" w:type="pct"/>
            <w:tcBorders>
              <w:top w:val="single" w:color="000000" w:sz="4" w:space="0"/>
              <w:left w:val="single" w:color="000000" w:sz="4" w:space="0"/>
              <w:bottom w:val="single" w:color="000000" w:sz="4" w:space="0"/>
              <w:right w:val="single" w:color="000000" w:sz="4" w:space="0"/>
            </w:tcBorders>
            <w:noWrap w:val="0"/>
            <w:vAlign w:val="center"/>
          </w:tcPr>
          <w:p w14:paraId="584E97B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515.03</w:t>
            </w: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509E9D0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511.68</w:t>
            </w:r>
          </w:p>
        </w:tc>
      </w:tr>
      <w:tr w14:paraId="71447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317F694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0D6A123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现金流入</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75BD513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1036.82</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3EE7149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1036.82</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355CF34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1067.93</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1F20866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1067.93</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7EB3DD6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1067.93</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5CE6CF6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1099.96</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6AADE51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1099.96</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730397A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1099.96</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56A80E1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1132.96</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45449A0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1132.96</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677ADEE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1132.96</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2337E6A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1166.95</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421D198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1166.95</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44D4AEA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1166.95</w:t>
            </w:r>
          </w:p>
        </w:tc>
        <w:tc>
          <w:tcPr>
            <w:tcW w:w="252" w:type="pct"/>
            <w:tcBorders>
              <w:top w:val="single" w:color="000000" w:sz="4" w:space="0"/>
              <w:left w:val="single" w:color="000000" w:sz="4" w:space="0"/>
              <w:bottom w:val="single" w:color="000000" w:sz="4" w:space="0"/>
              <w:right w:val="single" w:color="000000" w:sz="4" w:space="0"/>
            </w:tcBorders>
            <w:noWrap w:val="0"/>
            <w:vAlign w:val="center"/>
          </w:tcPr>
          <w:p w14:paraId="4A66791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1201.96</w:t>
            </w: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7A724FB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1201.96</w:t>
            </w:r>
          </w:p>
        </w:tc>
      </w:tr>
      <w:tr w14:paraId="6B24E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7B6AF9A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1.1</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0BFDA89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经营收入</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310593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1036.82</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6A7E15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1036.82</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8198F7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1067.93</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F180C4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1067.93</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389AAD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1067.93</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383B88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1099.96</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975996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1099.96</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A020D3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1099.96</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F3F375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1132.96</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8B4446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1132.96</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483936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1132.96</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85430A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1166.95</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DE9E3A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1166.95</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E0B31D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1166.95</w:t>
            </w:r>
          </w:p>
        </w:tc>
        <w:tc>
          <w:tcPr>
            <w:tcW w:w="252" w:type="pct"/>
            <w:tcBorders>
              <w:top w:val="single" w:color="000000" w:sz="4" w:space="0"/>
              <w:left w:val="single" w:color="000000" w:sz="4" w:space="0"/>
              <w:bottom w:val="single" w:color="000000" w:sz="4" w:space="0"/>
              <w:right w:val="single" w:color="000000" w:sz="4" w:space="0"/>
            </w:tcBorders>
            <w:noWrap/>
            <w:vAlign w:val="center"/>
          </w:tcPr>
          <w:p w14:paraId="024D474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1201.96</w:t>
            </w: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14FF248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1201.96</w:t>
            </w:r>
          </w:p>
        </w:tc>
      </w:tr>
      <w:tr w14:paraId="56B22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173C569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1.2</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7628E73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补贴收入</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539330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F742E6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C5509F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BD770B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D16ECB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9AA03A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CF8D9B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CEE7E3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E108F3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D1A349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2F4D5E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F8DEAC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244474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5F4BDD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noWrap/>
            <w:vAlign w:val="center"/>
          </w:tcPr>
          <w:p w14:paraId="21B0F72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3FBB42A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57DB1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16C3C53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0C6BAB2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现金流出</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231C4DB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596.26</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0A46F73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599.06</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4E38B43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610.56</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713A0A3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613.36</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3CDFF9E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616.15</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2E19D26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628.40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75635BB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631.68</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0482401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634.95</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483350A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647.54</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7749DB5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650.88</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1B1D237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654.23</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31FE7E4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667.09</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634C0D0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670.43</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256A9D1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673.79</w:t>
            </w:r>
          </w:p>
        </w:tc>
        <w:tc>
          <w:tcPr>
            <w:tcW w:w="252" w:type="pct"/>
            <w:tcBorders>
              <w:top w:val="single" w:color="000000" w:sz="4" w:space="0"/>
              <w:left w:val="single" w:color="000000" w:sz="4" w:space="0"/>
              <w:bottom w:val="single" w:color="000000" w:sz="4" w:space="0"/>
              <w:right w:val="single" w:color="000000" w:sz="4" w:space="0"/>
            </w:tcBorders>
            <w:noWrap w:val="0"/>
            <w:vAlign w:val="center"/>
          </w:tcPr>
          <w:p w14:paraId="5BA0A5B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686.93</w:t>
            </w: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487B3E8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690.28</w:t>
            </w:r>
          </w:p>
        </w:tc>
      </w:tr>
      <w:tr w14:paraId="21413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6AE0B18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2.1</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04DE47C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经营成本</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8842DF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596.26</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5037EB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599.06</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EF1C04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610.56</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828F10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613.36</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84F9E3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616.15</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D01E03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628.40</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31D8DA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631.68</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CCF7EC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634.95</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B6D1AA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647.54</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36657E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650.88</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C44B48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654.23</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474686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667.09</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445D7A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670.43</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CB4AB2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673.79</w:t>
            </w:r>
          </w:p>
        </w:tc>
        <w:tc>
          <w:tcPr>
            <w:tcW w:w="252" w:type="pct"/>
            <w:tcBorders>
              <w:top w:val="single" w:color="000000" w:sz="4" w:space="0"/>
              <w:left w:val="single" w:color="000000" w:sz="4" w:space="0"/>
              <w:bottom w:val="single" w:color="000000" w:sz="4" w:space="0"/>
              <w:right w:val="single" w:color="000000" w:sz="4" w:space="0"/>
            </w:tcBorders>
            <w:noWrap/>
            <w:vAlign w:val="center"/>
          </w:tcPr>
          <w:p w14:paraId="02D003A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686.93</w:t>
            </w: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4B51770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690.28</w:t>
            </w:r>
          </w:p>
        </w:tc>
      </w:tr>
      <w:tr w14:paraId="177E7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64772D1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2.2</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33A9B53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相关税费（成本税</w:t>
            </w:r>
            <w:r>
              <w:rPr>
                <w:rFonts w:hint="default" w:ascii="Times New Roman" w:hAnsi="Times New Roman" w:eastAsia="仿宋" w:cs="Times New Roman"/>
                <w:i w:val="0"/>
                <w:iCs w:val="0"/>
                <w:color w:val="000000"/>
                <w:kern w:val="0"/>
                <w:sz w:val="16"/>
                <w:szCs w:val="16"/>
                <w:u w:val="none"/>
                <w:lang w:val="en-US" w:eastAsia="zh-CN" w:bidi="ar"/>
              </w:rPr>
              <w:t>+</w:t>
            </w:r>
            <w:r>
              <w:rPr>
                <w:rFonts w:hint="eastAsia" w:ascii="仿宋" w:hAnsi="仿宋" w:eastAsia="仿宋" w:cs="仿宋"/>
                <w:i w:val="0"/>
                <w:iCs w:val="0"/>
                <w:color w:val="000000"/>
                <w:kern w:val="0"/>
                <w:sz w:val="16"/>
                <w:szCs w:val="16"/>
                <w:u w:val="none"/>
                <w:lang w:val="en-US" w:eastAsia="zh-CN" w:bidi="ar"/>
              </w:rPr>
              <w:t>企业所得税）</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78E8C6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7E6B6C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7DEF7C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2F23BF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240D00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96AD01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0.00</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FCAB91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6B3812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BE96CD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18C970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EF6DC5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87E0CA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A2A24C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A70148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noWrap/>
            <w:vAlign w:val="center"/>
          </w:tcPr>
          <w:p w14:paraId="3E0EABF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29A105E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383F8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1ADD4C7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二</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0EF700D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投资活动净现金流量</w:t>
            </w:r>
            <w:r>
              <w:rPr>
                <w:rFonts w:hint="default" w:ascii="Times New Roman" w:hAnsi="Times New Roman" w:eastAsia="仿宋" w:cs="Times New Roman"/>
                <w:b/>
                <w:bCs/>
                <w:i w:val="0"/>
                <w:iCs w:val="0"/>
                <w:color w:val="000000"/>
                <w:kern w:val="0"/>
                <w:sz w:val="16"/>
                <w:szCs w:val="16"/>
                <w:u w:val="none"/>
                <w:lang w:val="en-US" w:eastAsia="zh-CN" w:bidi="ar"/>
              </w:rPr>
              <w:br w:type="textWrapping"/>
            </w:r>
            <w:r>
              <w:rPr>
                <w:rFonts w:hint="eastAsia" w:ascii="仿宋" w:hAnsi="仿宋" w:eastAsia="仿宋" w:cs="仿宋"/>
                <w:b/>
                <w:bCs/>
                <w:i w:val="0"/>
                <w:iCs w:val="0"/>
                <w:color w:val="000000"/>
                <w:kern w:val="0"/>
                <w:sz w:val="16"/>
                <w:szCs w:val="16"/>
                <w:u w:val="none"/>
                <w:lang w:val="en-US" w:eastAsia="zh-CN" w:bidi="ar"/>
              </w:rPr>
              <w:t>（</w:t>
            </w:r>
            <w:r>
              <w:rPr>
                <w:rFonts w:hint="default" w:ascii="Times New Roman" w:hAnsi="Times New Roman" w:eastAsia="仿宋" w:cs="Times New Roman"/>
                <w:b/>
                <w:bCs/>
                <w:i w:val="0"/>
                <w:iCs w:val="0"/>
                <w:color w:val="000000"/>
                <w:kern w:val="0"/>
                <w:sz w:val="16"/>
                <w:szCs w:val="16"/>
                <w:u w:val="none"/>
                <w:lang w:val="en-US" w:eastAsia="zh-CN" w:bidi="ar"/>
              </w:rPr>
              <w:t>1-2</w:t>
            </w:r>
            <w:r>
              <w:rPr>
                <w:rFonts w:hint="eastAsia" w:ascii="仿宋" w:hAnsi="仿宋" w:eastAsia="仿宋" w:cs="仿宋"/>
                <w:b/>
                <w:bCs/>
                <w:i w:val="0"/>
                <w:iCs w:val="0"/>
                <w:color w:val="000000"/>
                <w:kern w:val="0"/>
                <w:sz w:val="16"/>
                <w:szCs w:val="16"/>
                <w:u w:val="none"/>
                <w:lang w:val="en-US" w:eastAsia="zh-CN" w:bidi="ar"/>
              </w:rPr>
              <w:t>）</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BDD509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0E0E5E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E8A1A7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F11D6A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B2F10C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02B558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0330E2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B27493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237191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1AF159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4EBFE5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F6E3FC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C4C939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382C7A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noWrap/>
            <w:vAlign w:val="center"/>
          </w:tcPr>
          <w:p w14:paraId="3D982B7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168D874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6BE24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0BA200C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1A36108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现金流入</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AADBF6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F5A636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9AFFFB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7045B2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ABBF28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B288C7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ABF40A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2B42EE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41C17A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B52D7F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442529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1F3800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2AF0A4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FF0CCA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noWrap/>
            <w:vAlign w:val="center"/>
          </w:tcPr>
          <w:p w14:paraId="5087CC3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68E953A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06E46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047DC45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1.1</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607C3BB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处置投资物</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B668A5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1727FA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9A923B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813BB7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E1F50E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51FE49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3939B0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7FCC1D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664A1C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A2571C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CC6531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0D9398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7EF977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585FBE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noWrap/>
            <w:vAlign w:val="center"/>
          </w:tcPr>
          <w:p w14:paraId="71991C7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569BDAD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5FA22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46618E0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1.2</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368403D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收到其他投资</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5A691D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FAA0B5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09C96F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DF7F59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1F2C04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2B3B2F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1C5515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731D7F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9B7E8F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728393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F13DC7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8EBAE2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1A090F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97ED6C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noWrap/>
            <w:vAlign w:val="center"/>
          </w:tcPr>
          <w:p w14:paraId="3C37801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383B6CC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3B43E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1FE8441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160B651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现金流出</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292B0C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51EEF9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993880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722713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3FCEC7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E5D5EF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0CF6DD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A2E212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EE9515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0EEDC1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CD7FCB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549F1D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344E34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A1A4E6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noWrap/>
            <w:vAlign w:val="center"/>
          </w:tcPr>
          <w:p w14:paraId="7BF4173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0FEEEF7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4DF66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1F562A5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2.1</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4701432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建设投资</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EF2F46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2F7D23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1B5742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19FC67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72A483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56FA50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9F63EB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8E744C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551447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767FD6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94AD67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FF2B06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C33B49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F75638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noWrap/>
            <w:vAlign w:val="center"/>
          </w:tcPr>
          <w:p w14:paraId="7C90B85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4C6A992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5D47B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33CC8EF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2.2</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385C8EB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维持运营投资</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6F49EF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9D5A3F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21D081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19ACDD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D8054C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FE0AA5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3BF3F5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DA65D1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9C819F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01DEBA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6A3A3B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EFD76E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B42674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2C896D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noWrap/>
            <w:vAlign w:val="center"/>
          </w:tcPr>
          <w:p w14:paraId="62D7F2F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32A6354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26CDE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61EB6FD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三</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2478F5D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筹措活动净现金流量</w:t>
            </w:r>
            <w:r>
              <w:rPr>
                <w:rFonts w:hint="default" w:ascii="Times New Roman" w:hAnsi="Times New Roman" w:eastAsia="仿宋" w:cs="Times New Roman"/>
                <w:b/>
                <w:bCs/>
                <w:i w:val="0"/>
                <w:iCs w:val="0"/>
                <w:color w:val="000000"/>
                <w:kern w:val="0"/>
                <w:sz w:val="16"/>
                <w:szCs w:val="16"/>
                <w:u w:val="none"/>
                <w:lang w:val="en-US" w:eastAsia="zh-CN" w:bidi="ar"/>
              </w:rPr>
              <w:br w:type="textWrapping"/>
            </w:r>
            <w:r>
              <w:rPr>
                <w:rFonts w:hint="eastAsia" w:ascii="仿宋" w:hAnsi="仿宋" w:eastAsia="仿宋" w:cs="仿宋"/>
                <w:b/>
                <w:bCs/>
                <w:i w:val="0"/>
                <w:iCs w:val="0"/>
                <w:color w:val="000000"/>
                <w:kern w:val="0"/>
                <w:sz w:val="16"/>
                <w:szCs w:val="16"/>
                <w:u w:val="none"/>
                <w:lang w:val="en-US" w:eastAsia="zh-CN" w:bidi="ar"/>
              </w:rPr>
              <w:t>（</w:t>
            </w:r>
            <w:r>
              <w:rPr>
                <w:rFonts w:hint="default" w:ascii="Times New Roman" w:hAnsi="Times New Roman" w:eastAsia="仿宋" w:cs="Times New Roman"/>
                <w:b/>
                <w:bCs/>
                <w:i w:val="0"/>
                <w:iCs w:val="0"/>
                <w:color w:val="000000"/>
                <w:kern w:val="0"/>
                <w:sz w:val="16"/>
                <w:szCs w:val="16"/>
                <w:u w:val="none"/>
                <w:lang w:val="en-US" w:eastAsia="zh-CN" w:bidi="ar"/>
              </w:rPr>
              <w:t>1-2</w:t>
            </w:r>
            <w:r>
              <w:rPr>
                <w:rFonts w:hint="eastAsia" w:ascii="仿宋" w:hAnsi="仿宋" w:eastAsia="仿宋" w:cs="仿宋"/>
                <w:b/>
                <w:bCs/>
                <w:i w:val="0"/>
                <w:iCs w:val="0"/>
                <w:color w:val="000000"/>
                <w:kern w:val="0"/>
                <w:sz w:val="16"/>
                <w:szCs w:val="16"/>
                <w:u w:val="none"/>
                <w:lang w:val="en-US" w:eastAsia="zh-CN" w:bidi="ar"/>
              </w:rPr>
              <w:t>）</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2E3E016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5E67DBE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02DB464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3B50DE5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4689392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3F7E443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4866D39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15BB48D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1340277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52FA3E6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3193BA8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28515AF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01F3658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029C8FE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-166.40</w:t>
            </w:r>
          </w:p>
        </w:tc>
        <w:tc>
          <w:tcPr>
            <w:tcW w:w="252" w:type="pct"/>
            <w:tcBorders>
              <w:top w:val="single" w:color="000000" w:sz="4" w:space="0"/>
              <w:left w:val="single" w:color="000000" w:sz="4" w:space="0"/>
              <w:bottom w:val="single" w:color="000000" w:sz="4" w:space="0"/>
              <w:right w:val="single" w:color="000000" w:sz="4" w:space="0"/>
            </w:tcBorders>
            <w:noWrap w:val="0"/>
            <w:vAlign w:val="center"/>
          </w:tcPr>
          <w:p w14:paraId="7B2DA9E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-2666.40</w:t>
            </w: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072FA05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-2786.40</w:t>
            </w:r>
          </w:p>
        </w:tc>
      </w:tr>
      <w:tr w14:paraId="6AAEB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3F17DA3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1E9C009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现金流入</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0A86930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3BC67A3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7E2590C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7B90133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0033DBE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2CB34CB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6719144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4FE2C85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285E3CD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7CBFB45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36C886A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56C2A38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5EAADE3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6FCEB68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noWrap w:val="0"/>
            <w:vAlign w:val="center"/>
          </w:tcPr>
          <w:p w14:paraId="2F90F81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7DFDC01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6E9E3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33E7B69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1.1</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5EBB55A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项目资本金投入</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BDF9AF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51EA65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FF871E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B5B6DF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70A4CA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6DFA93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12BE92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515A21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23C5B0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405FA5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21C5BD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22EC21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73EC86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AF62BF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noWrap/>
            <w:vAlign w:val="center"/>
          </w:tcPr>
          <w:p w14:paraId="1A688D1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11A620D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76FA1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6B56DE6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1.2</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614AFA6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专项债券资金</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23C91D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01AE08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CB9B83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1EF506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96B77D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421EBA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0CC91C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58283C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D39565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290CEF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B6B541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1D1E5E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FB0868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9C0B22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noWrap/>
            <w:vAlign w:val="center"/>
          </w:tcPr>
          <w:p w14:paraId="07B9AB3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7B63593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77A17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5329232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199733B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现金流出</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76331F8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4E71567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70EC99C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0704EFB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62EC170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64A4C2A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6166CBB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02D8538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1B1BD97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22EE1C5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09EC118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705A110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4C593B2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28D6CA2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52" w:type="pct"/>
            <w:tcBorders>
              <w:top w:val="single" w:color="000000" w:sz="4" w:space="0"/>
              <w:left w:val="single" w:color="000000" w:sz="4" w:space="0"/>
              <w:bottom w:val="single" w:color="000000" w:sz="4" w:space="0"/>
              <w:right w:val="single" w:color="000000" w:sz="4" w:space="0"/>
            </w:tcBorders>
            <w:noWrap w:val="0"/>
            <w:vAlign w:val="center"/>
          </w:tcPr>
          <w:p w14:paraId="7B5AD59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2666.40</w:t>
            </w: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5A43DF7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2786.40</w:t>
            </w:r>
          </w:p>
        </w:tc>
      </w:tr>
      <w:tr w14:paraId="30A45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580BD3C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2.1</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58E6034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支付债券利息</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3E5E3E8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0EF7A20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3A2D1B4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03DD88C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7ACF5EA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4EC1AF2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50AE5FC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56D292C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6C7F77B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468A5CC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7B09D62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5B68D95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76B5E9B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5228903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52" w:type="pct"/>
            <w:tcBorders>
              <w:top w:val="single" w:color="000000" w:sz="4" w:space="0"/>
              <w:left w:val="single" w:color="000000" w:sz="4" w:space="0"/>
              <w:bottom w:val="single" w:color="000000" w:sz="4" w:space="0"/>
              <w:right w:val="single" w:color="000000" w:sz="4" w:space="0"/>
            </w:tcBorders>
            <w:noWrap w:val="0"/>
            <w:vAlign w:val="center"/>
          </w:tcPr>
          <w:p w14:paraId="57C37E8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166.40</w:t>
            </w: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4390E6D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86.40</w:t>
            </w:r>
          </w:p>
        </w:tc>
      </w:tr>
      <w:tr w14:paraId="636FA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157AF39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2.2</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3AFE977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支付债券发行费用</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E87DC9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56C4B1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14B1BF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F134D0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DBC457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304282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356050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22AACF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BDF9A7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211995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AE68C4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F841B1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8CC7B9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45F672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noWrap/>
            <w:vAlign w:val="center"/>
          </w:tcPr>
          <w:p w14:paraId="6EFB93E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376B1F6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09ABA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413EB42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2.3</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7D3B683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支付专项债券本金</w:t>
            </w: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24AE31F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591B01B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648EA36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68665DA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351AD7D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0"/>
            <w:vAlign w:val="center"/>
          </w:tcPr>
          <w:p w14:paraId="2DEDB51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1BB736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D603A1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CD0655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5E5046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1508AE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E3B18C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B1C64B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721642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noWrap/>
            <w:vAlign w:val="center"/>
          </w:tcPr>
          <w:p w14:paraId="54970BD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2500.00</w:t>
            </w: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4A9806F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2700.00</w:t>
            </w:r>
          </w:p>
        </w:tc>
      </w:tr>
      <w:tr w14:paraId="7E256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2955459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四</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2D44F23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现金流量总计</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3F5B99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E75BC7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4C7CB4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46D2FB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5191A2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4A1A4E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FE2FFF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724773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FE591C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B901A4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4F3FF4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FD9DCC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F0A037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FF8C28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noWrap/>
            <w:vAlign w:val="center"/>
          </w:tcPr>
          <w:p w14:paraId="143EA05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4CCECE7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16"/>
                <w:szCs w:val="16"/>
                <w:u w:val="none"/>
              </w:rPr>
            </w:pPr>
          </w:p>
        </w:tc>
      </w:tr>
      <w:tr w14:paraId="04D38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1F8A2D6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007660D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项目期的期初资金</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8F280F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3186.20</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041C45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3460.36</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A366EB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3731.72</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8EAC1A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4022.69</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DF4D02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4310.86</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457E13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4596.24</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F5DA55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4901.40</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7D4D46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5203.28</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FB45E6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5501.89</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AB01A5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5820.91</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DAAA68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6136.59</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CE8741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6448.92</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4ED46E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6782.38</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650F6D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7112.50</w:t>
            </w:r>
          </w:p>
        </w:tc>
        <w:tc>
          <w:tcPr>
            <w:tcW w:w="252" w:type="pct"/>
            <w:tcBorders>
              <w:top w:val="single" w:color="000000" w:sz="4" w:space="0"/>
              <w:left w:val="single" w:color="000000" w:sz="4" w:space="0"/>
              <w:bottom w:val="single" w:color="000000" w:sz="4" w:space="0"/>
              <w:right w:val="single" w:color="000000" w:sz="4" w:space="0"/>
            </w:tcBorders>
            <w:noWrap/>
            <w:vAlign w:val="center"/>
          </w:tcPr>
          <w:p w14:paraId="1410912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7439.26</w:t>
            </w: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280BC7F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5287.89</w:t>
            </w:r>
          </w:p>
        </w:tc>
      </w:tr>
      <w:tr w14:paraId="56B73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140055C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7E9934E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项目期内现金变动（一</w:t>
            </w:r>
            <w:r>
              <w:rPr>
                <w:rFonts w:hint="default" w:ascii="Times New Roman" w:hAnsi="Times New Roman" w:eastAsia="仿宋" w:cs="Times New Roman"/>
                <w:i w:val="0"/>
                <w:iCs w:val="0"/>
                <w:color w:val="000000"/>
                <w:kern w:val="0"/>
                <w:sz w:val="16"/>
                <w:szCs w:val="16"/>
                <w:u w:val="none"/>
                <w:lang w:val="en-US" w:eastAsia="zh-CN" w:bidi="ar"/>
              </w:rPr>
              <w:t>+</w:t>
            </w:r>
            <w:r>
              <w:rPr>
                <w:rFonts w:hint="eastAsia" w:ascii="仿宋" w:hAnsi="仿宋" w:eastAsia="仿宋" w:cs="仿宋"/>
                <w:i w:val="0"/>
                <w:iCs w:val="0"/>
                <w:color w:val="000000"/>
                <w:kern w:val="0"/>
                <w:sz w:val="16"/>
                <w:szCs w:val="16"/>
                <w:u w:val="none"/>
                <w:lang w:val="en-US" w:eastAsia="zh-CN" w:bidi="ar"/>
              </w:rPr>
              <w:t>二</w:t>
            </w:r>
            <w:r>
              <w:rPr>
                <w:rFonts w:hint="default" w:ascii="Times New Roman" w:hAnsi="Times New Roman" w:eastAsia="仿宋" w:cs="Times New Roman"/>
                <w:i w:val="0"/>
                <w:iCs w:val="0"/>
                <w:color w:val="000000"/>
                <w:kern w:val="0"/>
                <w:sz w:val="16"/>
                <w:szCs w:val="16"/>
                <w:u w:val="none"/>
                <w:lang w:val="en-US" w:eastAsia="zh-CN" w:bidi="ar"/>
              </w:rPr>
              <w:t>+</w:t>
            </w:r>
            <w:r>
              <w:rPr>
                <w:rFonts w:hint="eastAsia" w:ascii="仿宋" w:hAnsi="仿宋" w:eastAsia="仿宋" w:cs="仿宋"/>
                <w:i w:val="0"/>
                <w:iCs w:val="0"/>
                <w:color w:val="000000"/>
                <w:kern w:val="0"/>
                <w:sz w:val="16"/>
                <w:szCs w:val="16"/>
                <w:u w:val="none"/>
                <w:lang w:val="en-US" w:eastAsia="zh-CN" w:bidi="ar"/>
              </w:rPr>
              <w:t>三）</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A3CDB5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274.16</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7DFBEC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271.36</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FE5362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290.97</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B70E87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288.17</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D52DAF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285.38</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759938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305.16</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767473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301.88</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622E1E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298.61</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EE61B8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319.02</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42A626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315.68</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D1261B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312.33</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B1C3FC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333.46</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76460E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330.12</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4BB208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326.76</w:t>
            </w:r>
          </w:p>
        </w:tc>
        <w:tc>
          <w:tcPr>
            <w:tcW w:w="252" w:type="pct"/>
            <w:tcBorders>
              <w:top w:val="single" w:color="000000" w:sz="4" w:space="0"/>
              <w:left w:val="single" w:color="000000" w:sz="4" w:space="0"/>
              <w:bottom w:val="single" w:color="000000" w:sz="4" w:space="0"/>
              <w:right w:val="single" w:color="000000" w:sz="4" w:space="0"/>
            </w:tcBorders>
            <w:noWrap/>
            <w:vAlign w:val="center"/>
          </w:tcPr>
          <w:p w14:paraId="34B03F0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-2151.37</w:t>
            </w: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114CB54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-2274.72</w:t>
            </w:r>
          </w:p>
        </w:tc>
      </w:tr>
      <w:tr w14:paraId="394F6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44" w:type="pct"/>
            <w:tcBorders>
              <w:top w:val="single" w:color="000000" w:sz="4" w:space="0"/>
              <w:left w:val="single" w:color="000000" w:sz="4" w:space="0"/>
              <w:bottom w:val="single" w:color="000000" w:sz="4" w:space="0"/>
              <w:right w:val="single" w:color="000000" w:sz="4" w:space="0"/>
            </w:tcBorders>
            <w:noWrap w:val="0"/>
            <w:vAlign w:val="center"/>
          </w:tcPr>
          <w:p w14:paraId="47EF597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w:t>
            </w:r>
          </w:p>
        </w:tc>
        <w:tc>
          <w:tcPr>
            <w:tcW w:w="818" w:type="pct"/>
            <w:tcBorders>
              <w:top w:val="single" w:color="000000" w:sz="4" w:space="0"/>
              <w:left w:val="single" w:color="000000" w:sz="4" w:space="0"/>
              <w:bottom w:val="single" w:color="000000" w:sz="4" w:space="0"/>
              <w:right w:val="single" w:color="000000" w:sz="4" w:space="0"/>
            </w:tcBorders>
            <w:noWrap w:val="0"/>
            <w:vAlign w:val="center"/>
          </w:tcPr>
          <w:p w14:paraId="736125A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项目期的期末资金</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3F2DD1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3460.36</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8CC092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3731.72</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82A2AD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4022.69</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08249F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4310.86</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0A2B5D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4596.24</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6B7BC9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4901.40</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3A7982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5203.28</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F6493C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5501.89</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F00ECD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5820.91</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C7C640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6136.59</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B6A583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6448.92</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F51349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6782.38</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3256AC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7112.50</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9F6EA0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7439.26</w:t>
            </w:r>
          </w:p>
        </w:tc>
        <w:tc>
          <w:tcPr>
            <w:tcW w:w="252" w:type="pct"/>
            <w:tcBorders>
              <w:top w:val="single" w:color="000000" w:sz="4" w:space="0"/>
              <w:left w:val="single" w:color="000000" w:sz="4" w:space="0"/>
              <w:bottom w:val="single" w:color="000000" w:sz="4" w:space="0"/>
              <w:right w:val="single" w:color="000000" w:sz="4" w:space="0"/>
            </w:tcBorders>
            <w:noWrap/>
            <w:vAlign w:val="center"/>
          </w:tcPr>
          <w:p w14:paraId="497ED16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5287.89</w:t>
            </w: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794EE79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3013.17</w:t>
            </w:r>
          </w:p>
        </w:tc>
      </w:tr>
    </w:tbl>
    <w:p w14:paraId="19E871D2">
      <w:pPr>
        <w:bidi w:val="0"/>
        <w:ind w:firstLine="0" w:firstLineChars="0"/>
        <w:jc w:val="left"/>
        <w:outlineLvl w:val="9"/>
        <w:rPr>
          <w:rFonts w:hint="eastAsia"/>
          <w:b/>
          <w:bCs/>
          <w:color w:val="FF0000"/>
          <w:lang w:val="en-US"/>
        </w:rPr>
        <w:sectPr>
          <w:headerReference r:id="rId5" w:type="default"/>
          <w:pgSz w:w="16838" w:h="11906" w:orient="landscape"/>
          <w:pgMar w:top="720" w:right="720" w:bottom="720" w:left="720" w:header="851" w:footer="992" w:gutter="0"/>
          <w:pgNumType w:fmt="decimal"/>
          <w:cols w:space="720" w:num="1"/>
          <w:docGrid w:type="lines" w:linePitch="381" w:charSpace="0"/>
        </w:sectPr>
      </w:pPr>
      <w:r>
        <w:rPr>
          <w:rFonts w:hint="eastAsia"/>
          <w:color w:val="FF0000"/>
          <w:lang w:eastAsia="zh-CN"/>
        </w:rPr>
        <w:t>。</w:t>
      </w:r>
      <w:r>
        <w:rPr>
          <w:rFonts w:hint="eastAsia" w:ascii="仿宋" w:hAnsi="仿宋" w:eastAsia="仿宋" w:cs="仿宋"/>
          <w:b/>
          <w:bCs/>
          <w:color w:val="FF0000"/>
          <w:sz w:val="28"/>
          <w:szCs w:val="28"/>
          <w:lang w:val="en-US" w:eastAsia="zh-CN"/>
        </w:rPr>
        <w:br w:type="page"/>
      </w:r>
    </w:p>
    <w:p w14:paraId="7671DF52">
      <w:pPr>
        <w:adjustRightInd/>
        <w:snapToGrid/>
        <w:spacing w:line="560" w:lineRule="exact"/>
        <w:ind w:firstLine="640"/>
        <w:outlineLvl w:val="0"/>
        <w:rPr>
          <w:rFonts w:eastAsia="黑体"/>
          <w:color w:val="auto"/>
          <w:sz w:val="32"/>
          <w:szCs w:val="32"/>
        </w:rPr>
      </w:pPr>
      <w:r>
        <w:rPr>
          <w:rFonts w:hint="eastAsia" w:eastAsia="黑体"/>
          <w:color w:val="auto"/>
          <w:sz w:val="32"/>
          <w:szCs w:val="32"/>
        </w:rPr>
        <w:t>五、项目绩效目标</w:t>
      </w:r>
    </w:p>
    <w:p w14:paraId="60F3000E">
      <w:pPr>
        <w:spacing w:beforeLines="50" w:afterLines="50" w:line="360" w:lineRule="auto"/>
        <w:ind w:firstLine="560" w:firstLineChars="200"/>
        <w:jc w:val="both"/>
        <w:outlineLvl w:val="1"/>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1、项目总体目标</w:t>
      </w:r>
    </w:p>
    <w:p w14:paraId="334F2CE4">
      <w:pPr>
        <w:spacing w:beforeLines="50" w:afterLines="50" w:line="360" w:lineRule="auto"/>
        <w:ind w:firstLine="560" w:firstLineChars="200"/>
        <w:jc w:val="both"/>
        <w:outlineLvl w:val="9"/>
        <w:rPr>
          <w:rFonts w:hint="eastAsia" w:ascii="仿宋" w:hAnsi="仿宋" w:eastAsia="仿宋" w:cs="仿宋"/>
          <w:color w:val="auto"/>
          <w:sz w:val="28"/>
          <w:szCs w:val="28"/>
          <w:lang w:val="en-US"/>
        </w:rPr>
      </w:pPr>
      <w:r>
        <w:rPr>
          <w:rFonts w:hint="eastAsia" w:ascii="仿宋" w:hAnsi="仿宋" w:eastAsia="仿宋" w:cs="仿宋"/>
          <w:color w:val="auto"/>
          <w:sz w:val="28"/>
          <w:szCs w:val="28"/>
        </w:rPr>
        <w:t>目标1：新建中医医院辅助业务用房1380平方米，改造ICU及老年病科2400平方米，配套建设住院楼连接天桥等附属设施。新建智慧医院系统一套，购置医疗设施设备。</w:t>
      </w:r>
    </w:p>
    <w:p w14:paraId="07946E0C">
      <w:pPr>
        <w:spacing w:beforeLines="50" w:afterLines="50" w:line="360" w:lineRule="auto"/>
        <w:ind w:firstLine="560" w:firstLineChars="200"/>
        <w:jc w:val="both"/>
        <w:outlineLvl w:val="9"/>
        <w:rPr>
          <w:rFonts w:hint="eastAsia" w:ascii="仿宋" w:hAnsi="仿宋" w:eastAsia="仿宋" w:cs="仿宋"/>
          <w:color w:val="auto"/>
          <w:sz w:val="28"/>
          <w:szCs w:val="28"/>
        </w:rPr>
      </w:pPr>
      <w:r>
        <w:rPr>
          <w:rFonts w:hint="eastAsia" w:ascii="仿宋" w:hAnsi="仿宋" w:eastAsia="仿宋" w:cs="仿宋"/>
          <w:color w:val="auto"/>
          <w:sz w:val="28"/>
          <w:szCs w:val="28"/>
        </w:rPr>
        <w:t>目标2：在2027年4月底前完成项目竣工验收。</w:t>
      </w:r>
    </w:p>
    <w:p w14:paraId="6A246D37">
      <w:pPr>
        <w:spacing w:beforeLines="50" w:afterLines="50" w:line="360" w:lineRule="auto"/>
        <w:ind w:firstLine="560" w:firstLineChars="200"/>
        <w:jc w:val="both"/>
        <w:outlineLvl w:val="9"/>
        <w:rPr>
          <w:rFonts w:hint="eastAsia" w:ascii="仿宋" w:hAnsi="仿宋" w:eastAsia="仿宋" w:cs="仿宋"/>
          <w:color w:val="auto"/>
          <w:sz w:val="28"/>
          <w:szCs w:val="28"/>
          <w:lang w:eastAsia="zh-CN"/>
        </w:rPr>
      </w:pPr>
      <w:r>
        <w:rPr>
          <w:rFonts w:hint="eastAsia" w:ascii="仿宋" w:hAnsi="仿宋" w:eastAsia="仿宋" w:cs="仿宋"/>
          <w:color w:val="auto"/>
          <w:sz w:val="28"/>
          <w:szCs w:val="28"/>
        </w:rPr>
        <w:t>目标3：</w:t>
      </w:r>
      <w:r>
        <w:rPr>
          <w:rFonts w:hint="eastAsia" w:ascii="仿宋" w:hAnsi="仿宋" w:eastAsia="仿宋" w:cs="仿宋"/>
          <w:color w:val="auto"/>
          <w:sz w:val="28"/>
          <w:szCs w:val="28"/>
          <w:lang w:val="en-US" w:eastAsia="zh-CN"/>
        </w:rPr>
        <w:t>带动区域协同发展，提升区域医疗服务发展水平</w:t>
      </w:r>
      <w:r>
        <w:rPr>
          <w:rFonts w:hint="eastAsia" w:ascii="仿宋" w:hAnsi="仿宋" w:eastAsia="仿宋" w:cs="仿宋"/>
          <w:color w:val="auto"/>
          <w:sz w:val="28"/>
          <w:szCs w:val="28"/>
        </w:rPr>
        <w:t>。</w:t>
      </w:r>
    </w:p>
    <w:p w14:paraId="57062C0B">
      <w:pPr>
        <w:spacing w:beforeLines="50" w:afterLines="50" w:line="360" w:lineRule="auto"/>
        <w:ind w:firstLine="560" w:firstLineChars="200"/>
        <w:jc w:val="both"/>
        <w:outlineLvl w:val="9"/>
        <w:rPr>
          <w:rFonts w:hint="eastAsia" w:ascii="仿宋" w:hAnsi="仿宋" w:eastAsia="仿宋" w:cs="仿宋"/>
          <w:color w:val="auto"/>
          <w:sz w:val="28"/>
          <w:szCs w:val="28"/>
        </w:rPr>
      </w:pPr>
      <w:r>
        <w:rPr>
          <w:rFonts w:hint="eastAsia" w:ascii="仿宋" w:hAnsi="仿宋" w:eastAsia="仿宋" w:cs="仿宋"/>
          <w:color w:val="auto"/>
          <w:sz w:val="28"/>
          <w:szCs w:val="28"/>
        </w:rPr>
        <w:t>目标4：债券存续期内实现年度收支平衡和总体收支平衡。</w:t>
      </w:r>
    </w:p>
    <w:p w14:paraId="4735CCA6">
      <w:pPr>
        <w:spacing w:beforeLines="50" w:afterLines="50" w:line="360" w:lineRule="auto"/>
        <w:ind w:firstLine="560" w:firstLineChars="200"/>
        <w:jc w:val="both"/>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2、年度目标</w:t>
      </w:r>
    </w:p>
    <w:p w14:paraId="5C1EE5C9">
      <w:pPr>
        <w:spacing w:beforeLines="50" w:afterLines="50" w:line="360" w:lineRule="auto"/>
        <w:ind w:firstLine="560" w:firstLineChars="200"/>
        <w:jc w:val="both"/>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目标1：新建中医医院辅助业务用房680平方米，改造ICU及老年病科1200平方米，完成配套设施建设50%。</w:t>
      </w:r>
    </w:p>
    <w:p w14:paraId="69ACF140">
      <w:pPr>
        <w:spacing w:beforeLines="50" w:afterLines="50" w:line="360" w:lineRule="auto"/>
        <w:ind w:firstLine="560" w:firstLineChars="200"/>
        <w:jc w:val="both"/>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3、质量指标</w:t>
      </w:r>
    </w:p>
    <w:p w14:paraId="425DA284">
      <w:pPr>
        <w:spacing w:beforeLines="50" w:afterLines="50" w:line="360" w:lineRule="auto"/>
        <w:ind w:firstLine="560" w:firstLineChars="200"/>
        <w:jc w:val="both"/>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指标1：项目竣工验收达标率——≥95%</w:t>
      </w:r>
    </w:p>
    <w:p w14:paraId="0646DAA0">
      <w:pPr>
        <w:spacing w:beforeLines="50" w:afterLines="50" w:line="360" w:lineRule="auto"/>
        <w:ind w:firstLine="560" w:firstLineChars="200"/>
        <w:jc w:val="both"/>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指标2：项目设计方案变更率——≤5%</w:t>
      </w:r>
    </w:p>
    <w:p w14:paraId="47CC34BC">
      <w:pPr>
        <w:spacing w:beforeLines="50" w:afterLines="50" w:line="360" w:lineRule="auto"/>
        <w:ind w:firstLine="560" w:firstLineChars="200"/>
        <w:jc w:val="both"/>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4、经济效益指标</w:t>
      </w:r>
    </w:p>
    <w:p w14:paraId="1184357E">
      <w:pPr>
        <w:pStyle w:val="2"/>
        <w:outlineLvl w:val="9"/>
        <w:rPr>
          <w:rFonts w:hint="default"/>
          <w:color w:val="auto"/>
          <w:lang w:val="en-US" w:eastAsia="zh-CN"/>
        </w:rPr>
      </w:pPr>
      <w:r>
        <w:rPr>
          <w:rFonts w:hint="eastAsia" w:ascii="仿宋" w:hAnsi="仿宋" w:eastAsia="仿宋" w:cs="仿宋"/>
          <w:color w:val="auto"/>
          <w:sz w:val="28"/>
          <w:szCs w:val="28"/>
          <w:lang w:val="en-US" w:eastAsia="zh-CN"/>
        </w:rPr>
        <w:t>指标1：项目总收入——30479.66万元</w:t>
      </w:r>
    </w:p>
    <w:p w14:paraId="7AABEA05">
      <w:pPr>
        <w:spacing w:beforeLines="50" w:afterLines="50" w:line="360" w:lineRule="auto"/>
        <w:ind w:firstLine="560" w:firstLineChars="200"/>
        <w:jc w:val="both"/>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5、社会效益指标</w:t>
      </w:r>
    </w:p>
    <w:p w14:paraId="79ECC633">
      <w:pPr>
        <w:spacing w:beforeLines="50" w:afterLines="50" w:line="360" w:lineRule="auto"/>
        <w:ind w:firstLine="560" w:firstLineChars="200"/>
        <w:jc w:val="both"/>
        <w:outlineLvl w:val="9"/>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指标1：推动地方医疗事业发展——达成预期目标</w:t>
      </w:r>
    </w:p>
    <w:p w14:paraId="4D3FC160">
      <w:pPr>
        <w:spacing w:beforeLines="50" w:afterLines="50" w:line="360" w:lineRule="auto"/>
        <w:ind w:firstLine="560" w:firstLineChars="200"/>
        <w:jc w:val="both"/>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指标2：完善地方医疗基础设施提升——达成预期目标</w:t>
      </w:r>
    </w:p>
    <w:p w14:paraId="04E419FF">
      <w:pPr>
        <w:spacing w:beforeLines="50" w:afterLines="50" w:line="360" w:lineRule="auto"/>
        <w:ind w:firstLine="560" w:firstLineChars="200"/>
        <w:jc w:val="both"/>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6、可持续影响指标</w:t>
      </w:r>
    </w:p>
    <w:p w14:paraId="29278E82">
      <w:pPr>
        <w:spacing w:beforeLines="50" w:afterLines="50" w:line="360" w:lineRule="auto"/>
        <w:ind w:firstLine="560" w:firstLineChars="200"/>
        <w:jc w:val="both"/>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指标1：运营期限——≧29年</w:t>
      </w:r>
    </w:p>
    <w:p w14:paraId="43390500">
      <w:pPr>
        <w:spacing w:beforeLines="50" w:afterLines="50" w:line="360" w:lineRule="auto"/>
        <w:ind w:firstLine="560" w:firstLineChars="200"/>
        <w:jc w:val="both"/>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指标2：推动区域全面协调发展——达成预期目标</w:t>
      </w:r>
    </w:p>
    <w:p w14:paraId="56D92A03">
      <w:pPr>
        <w:adjustRightInd/>
        <w:snapToGrid/>
        <w:spacing w:line="560" w:lineRule="exact"/>
        <w:ind w:firstLine="640"/>
        <w:outlineLvl w:val="0"/>
        <w:rPr>
          <w:rFonts w:hint="eastAsia" w:eastAsia="黑体"/>
          <w:color w:val="auto"/>
          <w:sz w:val="28"/>
          <w:szCs w:val="32"/>
        </w:rPr>
      </w:pPr>
      <w:r>
        <w:rPr>
          <w:rFonts w:hint="eastAsia" w:eastAsia="黑体"/>
          <w:color w:val="auto"/>
          <w:sz w:val="32"/>
          <w:szCs w:val="32"/>
        </w:rPr>
        <w:t>六、潜在影响项目的风险评估</w:t>
      </w:r>
    </w:p>
    <w:p w14:paraId="78BEA68C">
      <w:pPr>
        <w:spacing w:beforeLines="50" w:afterLines="50" w:line="360" w:lineRule="auto"/>
        <w:ind w:firstLine="560" w:firstLineChars="200"/>
        <w:jc w:val="both"/>
        <w:outlineLvl w:val="1"/>
        <w:rPr>
          <w:rFonts w:hint="eastAsia" w:ascii="仿宋" w:hAnsi="仿宋" w:eastAsia="仿宋" w:cs="仿宋"/>
          <w:color w:val="auto"/>
          <w:sz w:val="28"/>
          <w:szCs w:val="28"/>
          <w:lang w:val="en-US" w:eastAsia="zh-CN"/>
        </w:rPr>
      </w:pPr>
      <w:bookmarkStart w:id="102" w:name="_Toc522211123"/>
      <w:bookmarkStart w:id="103" w:name="_Toc15343"/>
      <w:r>
        <w:rPr>
          <w:rFonts w:hint="eastAsia" w:ascii="仿宋" w:hAnsi="仿宋" w:eastAsia="仿宋" w:cs="仿宋"/>
          <w:color w:val="auto"/>
          <w:sz w:val="28"/>
          <w:szCs w:val="28"/>
          <w:lang w:val="en-US" w:eastAsia="zh-CN"/>
        </w:rPr>
        <w:t>1.经营风险</w:t>
      </w:r>
      <w:bookmarkEnd w:id="102"/>
      <w:bookmarkEnd w:id="103"/>
    </w:p>
    <w:p w14:paraId="366A97C3">
      <w:pPr>
        <w:spacing w:beforeLines="50" w:afterLines="50" w:line="360" w:lineRule="auto"/>
        <w:ind w:firstLine="560" w:firstLineChars="200"/>
        <w:jc w:val="both"/>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风险识别：</w:t>
      </w:r>
      <w:r>
        <w:rPr>
          <w:rFonts w:hint="eastAsia" w:ascii="仿宋" w:hAnsi="仿宋" w:eastAsia="仿宋" w:cs="仿宋"/>
          <w:color w:val="auto"/>
          <w:sz w:val="28"/>
          <w:szCs w:val="28"/>
        </w:rPr>
        <w:t>经营风险是指生产经营的不确定性带来的风险。若项目投入运营后各项单价未能达到预测值，将影响项目整体收益，对债券还本付息产生影响</w:t>
      </w:r>
      <w:r>
        <w:rPr>
          <w:rFonts w:hint="eastAsia" w:ascii="仿宋" w:hAnsi="仿宋" w:eastAsia="仿宋" w:cs="仿宋"/>
          <w:color w:val="auto"/>
          <w:sz w:val="28"/>
          <w:szCs w:val="28"/>
          <w:lang w:val="en-US" w:eastAsia="zh-CN"/>
        </w:rPr>
        <w:t>。</w:t>
      </w:r>
    </w:p>
    <w:p w14:paraId="1E1C7F37">
      <w:pPr>
        <w:spacing w:beforeLines="50" w:afterLines="50" w:line="360" w:lineRule="auto"/>
        <w:ind w:firstLine="560" w:firstLineChars="200"/>
        <w:jc w:val="both"/>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风险控制措施：</w:t>
      </w:r>
      <w:r>
        <w:rPr>
          <w:rFonts w:hint="eastAsia" w:ascii="仿宋" w:hAnsi="仿宋" w:eastAsia="仿宋" w:cs="仿宋"/>
          <w:color w:val="auto"/>
          <w:sz w:val="28"/>
          <w:szCs w:val="28"/>
        </w:rPr>
        <w:t>要求项目管理单位密切关注本项目各项收费单价实际收取情况，根据实际情况适当调整单价，减少成本支出，保证还本付息资金</w:t>
      </w:r>
      <w:r>
        <w:rPr>
          <w:rFonts w:hint="eastAsia" w:ascii="仿宋" w:hAnsi="仿宋" w:eastAsia="仿宋" w:cs="仿宋"/>
          <w:color w:val="auto"/>
          <w:sz w:val="28"/>
          <w:szCs w:val="28"/>
          <w:lang w:val="en-US" w:eastAsia="zh-CN"/>
        </w:rPr>
        <w:t>。</w:t>
      </w:r>
      <w:bookmarkStart w:id="104" w:name="_Toc522211124"/>
      <w:bookmarkStart w:id="105" w:name="_Toc4440"/>
    </w:p>
    <w:p w14:paraId="08FCE5AA">
      <w:pPr>
        <w:spacing w:beforeLines="50" w:afterLines="50" w:line="360" w:lineRule="auto"/>
        <w:ind w:firstLine="560" w:firstLineChars="200"/>
        <w:jc w:val="both"/>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2.市场风险</w:t>
      </w:r>
      <w:bookmarkEnd w:id="104"/>
      <w:bookmarkEnd w:id="105"/>
    </w:p>
    <w:p w14:paraId="207016B8">
      <w:pPr>
        <w:spacing w:beforeLines="50" w:afterLines="50" w:line="360" w:lineRule="auto"/>
        <w:ind w:firstLine="560" w:firstLineChars="200"/>
        <w:jc w:val="both"/>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风险识别：</w:t>
      </w:r>
      <w:r>
        <w:rPr>
          <w:rFonts w:hint="eastAsia" w:ascii="仿宋" w:hAnsi="仿宋" w:eastAsia="仿宋" w:cs="仿宋"/>
          <w:color w:val="auto"/>
          <w:sz w:val="28"/>
          <w:szCs w:val="28"/>
        </w:rPr>
        <w:t>在专项债券存续期内，国际、国内宏观经济环境的变化，国家经济政策变动等因素会引起债务资本市场利率的波动，市场利率波动将会对本项目的财务成本产生一定影响，进而影响项目投资收益的平衡</w:t>
      </w:r>
      <w:r>
        <w:rPr>
          <w:rFonts w:hint="eastAsia" w:ascii="仿宋" w:hAnsi="仿宋" w:eastAsia="仿宋" w:cs="仿宋"/>
          <w:color w:val="auto"/>
          <w:sz w:val="28"/>
          <w:szCs w:val="28"/>
          <w:lang w:val="en-US" w:eastAsia="zh-CN"/>
        </w:rPr>
        <w:t>。</w:t>
      </w:r>
    </w:p>
    <w:p w14:paraId="52E78F52">
      <w:pPr>
        <w:spacing w:beforeLines="50" w:afterLines="50" w:line="360" w:lineRule="auto"/>
        <w:ind w:firstLine="560" w:firstLineChars="200"/>
        <w:jc w:val="both"/>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风险控制措施：</w:t>
      </w:r>
      <w:r>
        <w:rPr>
          <w:rFonts w:hint="eastAsia" w:ascii="仿宋" w:hAnsi="仿宋" w:eastAsia="仿宋" w:cs="仿宋"/>
          <w:color w:val="auto"/>
          <w:sz w:val="28"/>
          <w:szCs w:val="28"/>
        </w:rPr>
        <w:t>要求项目单位合理安排债券发行金额和债券期限，做好债券的期限配比、还款计划和资金准备</w:t>
      </w:r>
      <w:r>
        <w:rPr>
          <w:rFonts w:hint="eastAsia" w:ascii="仿宋" w:hAnsi="仿宋" w:eastAsia="仿宋" w:cs="仿宋"/>
          <w:color w:val="auto"/>
          <w:sz w:val="28"/>
          <w:szCs w:val="28"/>
          <w:lang w:val="en-US" w:eastAsia="zh-CN"/>
        </w:rPr>
        <w:t>。</w:t>
      </w:r>
    </w:p>
    <w:p w14:paraId="16162E90">
      <w:pPr>
        <w:spacing w:beforeLines="50" w:afterLines="50" w:line="360" w:lineRule="auto"/>
        <w:ind w:firstLine="560" w:firstLineChars="200"/>
        <w:jc w:val="both"/>
        <w:outlineLvl w:val="1"/>
        <w:rPr>
          <w:rFonts w:hint="eastAsia" w:ascii="仿宋" w:hAnsi="仿宋" w:eastAsia="仿宋" w:cs="仿宋"/>
          <w:color w:val="auto"/>
          <w:sz w:val="28"/>
          <w:szCs w:val="28"/>
          <w:lang w:val="en-US" w:eastAsia="zh-CN"/>
        </w:rPr>
      </w:pPr>
      <w:bookmarkStart w:id="106" w:name="_Toc522211125"/>
      <w:bookmarkStart w:id="107" w:name="_Toc15747"/>
      <w:r>
        <w:rPr>
          <w:rFonts w:hint="eastAsia" w:ascii="仿宋" w:hAnsi="仿宋" w:eastAsia="仿宋" w:cs="仿宋"/>
          <w:color w:val="auto"/>
          <w:sz w:val="28"/>
          <w:szCs w:val="28"/>
          <w:lang w:val="en-US" w:eastAsia="zh-CN"/>
        </w:rPr>
        <w:t>3.财务风险</w:t>
      </w:r>
      <w:bookmarkEnd w:id="106"/>
      <w:bookmarkEnd w:id="107"/>
    </w:p>
    <w:p w14:paraId="74467CA0">
      <w:pPr>
        <w:spacing w:beforeLines="50" w:afterLines="50" w:line="360" w:lineRule="auto"/>
        <w:ind w:firstLine="560" w:firstLineChars="200"/>
        <w:jc w:val="both"/>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风险识别：</w:t>
      </w:r>
      <w:r>
        <w:rPr>
          <w:rFonts w:hint="eastAsia" w:ascii="仿宋" w:hAnsi="仿宋" w:eastAsia="仿宋" w:cs="仿宋"/>
          <w:color w:val="auto"/>
          <w:sz w:val="28"/>
          <w:szCs w:val="28"/>
        </w:rPr>
        <w:t>由于项目建设周期较长，如果在项目建设过程中，受市场因素影响，项目施工所需的原材料价格上涨，将导致项目施工成本增加，财务负担加重，进而影响项目建设进度，以及项目建设期内专项债券的利息兑付，因此面临一定财务风险</w:t>
      </w:r>
      <w:r>
        <w:rPr>
          <w:rFonts w:hint="eastAsia" w:ascii="仿宋" w:hAnsi="仿宋" w:eastAsia="仿宋" w:cs="仿宋"/>
          <w:color w:val="auto"/>
          <w:sz w:val="28"/>
          <w:szCs w:val="28"/>
          <w:lang w:val="en-US" w:eastAsia="zh-CN"/>
        </w:rPr>
        <w:t>。</w:t>
      </w:r>
    </w:p>
    <w:p w14:paraId="4E795BB8">
      <w:pPr>
        <w:spacing w:beforeLines="50" w:afterLines="50" w:line="360" w:lineRule="auto"/>
        <w:ind w:firstLine="560" w:firstLineChars="200"/>
        <w:jc w:val="both"/>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风险控制措施：</w:t>
      </w:r>
      <w:r>
        <w:rPr>
          <w:rFonts w:hint="eastAsia" w:ascii="仿宋" w:hAnsi="仿宋" w:eastAsia="仿宋" w:cs="仿宋"/>
          <w:color w:val="auto"/>
          <w:sz w:val="28"/>
          <w:szCs w:val="28"/>
        </w:rPr>
        <w:t>项目可行性研究报告编制过程中，在测算项目总投资时已考虑相关风险。同时，在项目建设过程中，加强项目施工预算管理、招标及合同管理，尽可能控制建设成本</w:t>
      </w:r>
      <w:r>
        <w:rPr>
          <w:rFonts w:hint="eastAsia" w:ascii="仿宋" w:hAnsi="仿宋" w:eastAsia="仿宋" w:cs="仿宋"/>
          <w:color w:val="auto"/>
          <w:sz w:val="28"/>
          <w:szCs w:val="28"/>
          <w:lang w:val="en-US" w:eastAsia="zh-CN"/>
        </w:rPr>
        <w:t>。</w:t>
      </w:r>
    </w:p>
    <w:p w14:paraId="76CE3EAE">
      <w:pPr>
        <w:adjustRightInd/>
        <w:snapToGrid/>
        <w:spacing w:line="560" w:lineRule="exact"/>
        <w:ind w:firstLine="640"/>
        <w:outlineLvl w:val="0"/>
        <w:rPr>
          <w:rFonts w:hint="eastAsia" w:eastAsia="黑体"/>
          <w:color w:val="auto"/>
          <w:sz w:val="32"/>
          <w:szCs w:val="32"/>
        </w:rPr>
      </w:pPr>
      <w:r>
        <w:rPr>
          <w:rFonts w:hint="eastAsia" w:eastAsia="黑体"/>
          <w:color w:val="auto"/>
          <w:sz w:val="32"/>
          <w:szCs w:val="32"/>
        </w:rPr>
        <w:t>七、还款保障情况</w:t>
      </w:r>
    </w:p>
    <w:p w14:paraId="1FD36381">
      <w:pPr>
        <w:adjustRightInd/>
        <w:snapToGrid/>
        <w:spacing w:line="560" w:lineRule="exact"/>
        <w:ind w:firstLine="640"/>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按照《国务院办公厅关于印发地方政府性债务风险应急处置预案的通知》（国办函〔2016〕88号）规定，本级政府对地方政府债券依法承担全部偿还责任。本级财政将按照《财政部关于印发〈地方政府专项债务预算管理办法〉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r>
        <w:rPr>
          <w:rFonts w:hint="eastAsia" w:ascii="仿宋" w:hAnsi="仿宋" w:eastAsia="仿宋" w:cs="仿宋"/>
          <w:color w:val="auto"/>
          <w:sz w:val="28"/>
          <w:szCs w:val="28"/>
          <w:lang w:val="en-US" w:eastAsia="zh-CN"/>
        </w:rPr>
        <w:t>。</w:t>
      </w:r>
    </w:p>
    <w:p w14:paraId="5F3B0BD8">
      <w:pPr>
        <w:adjustRightInd/>
        <w:snapToGrid/>
        <w:spacing w:line="560" w:lineRule="exact"/>
        <w:outlineLvl w:val="0"/>
        <w:rPr>
          <w:rFonts w:hint="eastAsia" w:ascii="仿宋" w:hAnsi="仿宋" w:eastAsia="仿宋" w:cs="仿宋"/>
          <w:color w:val="auto"/>
          <w:sz w:val="32"/>
          <w:szCs w:val="32"/>
        </w:rPr>
      </w:pPr>
      <w:r>
        <w:rPr>
          <w:rFonts w:hint="eastAsia" w:eastAsia="黑体"/>
          <w:color w:val="auto"/>
          <w:sz w:val="32"/>
          <w:szCs w:val="32"/>
        </w:rPr>
        <w:t>八、主管部门</w:t>
      </w:r>
      <w:r>
        <w:rPr>
          <w:rFonts w:hint="eastAsia" w:eastAsia="黑体"/>
          <w:color w:val="auto"/>
          <w:sz w:val="32"/>
          <w:szCs w:val="32"/>
          <w:lang w:val="en-US" w:eastAsia="zh-CN"/>
        </w:rPr>
        <w:t>和项目单位职责</w:t>
      </w:r>
    </w:p>
    <w:p w14:paraId="66D0480F">
      <w:pPr>
        <w:adjustRightInd/>
        <w:snapToGrid/>
        <w:spacing w:line="560" w:lineRule="exact"/>
        <w:ind w:firstLine="640"/>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 项目主管部门：</w:t>
      </w:r>
      <w:r>
        <w:rPr>
          <w:rFonts w:hint="eastAsia" w:ascii="仿宋" w:hAnsi="仿宋" w:eastAsia="仿宋" w:cs="仿宋"/>
          <w:color w:val="auto"/>
          <w:sz w:val="28"/>
          <w:szCs w:val="28"/>
          <w:lang w:eastAsia="zh-CN"/>
        </w:rPr>
        <w:t>宁南县卫生健康局</w:t>
      </w:r>
    </w:p>
    <w:p w14:paraId="67BFAB43">
      <w:pPr>
        <w:adjustRightInd/>
        <w:snapToGrid/>
        <w:spacing w:line="560" w:lineRule="exact"/>
        <w:ind w:firstLine="640"/>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主要职责包括：严格按照基本建设程序建设项目，监督施工方严格按照施工规范施工，确保项目施工安全、项目建设质量、项目工期，切实加强项目建设、运营管理，确保项目收益覆盖债券本息。</w:t>
      </w:r>
    </w:p>
    <w:p w14:paraId="36DF5D1A">
      <w:pPr>
        <w:adjustRightInd/>
        <w:snapToGrid/>
        <w:spacing w:line="560" w:lineRule="exact"/>
        <w:ind w:firstLine="640"/>
        <w:outlineLvl w:val="9"/>
        <w:rPr>
          <w:rFonts w:hint="eastAsia" w:ascii="仿宋" w:hAnsi="仿宋" w:eastAsia="仿宋" w:cs="仿宋"/>
          <w:color w:val="FF0000"/>
          <w:sz w:val="28"/>
          <w:szCs w:val="28"/>
          <w:lang w:val="en-US" w:eastAsia="zh-CN"/>
        </w:rPr>
      </w:pPr>
      <w:r>
        <w:rPr>
          <w:rFonts w:hint="eastAsia" w:ascii="仿宋" w:hAnsi="仿宋" w:eastAsia="仿宋" w:cs="仿宋"/>
          <w:color w:val="auto"/>
          <w:sz w:val="28"/>
          <w:szCs w:val="28"/>
          <w:lang w:val="en-US" w:eastAsia="zh-CN"/>
        </w:rPr>
        <w:t>2.项目资金主管部门：</w:t>
      </w:r>
      <w:r>
        <w:rPr>
          <w:rFonts w:hint="eastAsia" w:ascii="仿宋" w:hAnsi="仿宋" w:eastAsia="仿宋" w:cs="仿宋"/>
          <w:color w:val="auto"/>
          <w:sz w:val="28"/>
          <w:szCs w:val="28"/>
        </w:rPr>
        <w:t>宁南县财政局</w:t>
      </w:r>
    </w:p>
    <w:p w14:paraId="7258F8B4">
      <w:pPr>
        <w:adjustRightInd/>
        <w:snapToGrid/>
        <w:spacing w:line="560" w:lineRule="exact"/>
        <w:ind w:firstLine="640"/>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主要职责包括：（1）配合落实项目配套财政资金、专项债券资金；（2）监督项目资金的实际使用情况及对本期债券本息的按期偿付情况。</w:t>
      </w:r>
    </w:p>
    <w:p w14:paraId="011D282C">
      <w:pPr>
        <w:adjustRightInd/>
        <w:snapToGrid/>
        <w:spacing w:line="560" w:lineRule="exact"/>
        <w:ind w:firstLine="640"/>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3.项目业主单位：</w:t>
      </w:r>
      <w:r>
        <w:rPr>
          <w:rFonts w:hint="eastAsia" w:ascii="仿宋" w:hAnsi="仿宋" w:eastAsia="仿宋" w:cs="仿宋"/>
          <w:color w:val="auto"/>
          <w:sz w:val="28"/>
          <w:szCs w:val="28"/>
          <w:lang w:eastAsia="zh-CN"/>
        </w:rPr>
        <w:t>宁南县中医医院</w:t>
      </w:r>
    </w:p>
    <w:p w14:paraId="2C49CCED">
      <w:pPr>
        <w:adjustRightInd/>
        <w:snapToGrid/>
        <w:spacing w:line="560" w:lineRule="exact"/>
        <w:ind w:firstLine="640"/>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主要职责包括：（1）根据项目实施计划开展相关工作;（2）保证项目资金的使用与项目实施进度相匹配;（3）定期向行业主管部门、实施机构及项目资金主管部门汇报项目实施进度及项目资金使用情况。</w:t>
      </w:r>
    </w:p>
    <w:p w14:paraId="07339750">
      <w:pPr>
        <w:keepNext w:val="0"/>
        <w:keepLines w:val="0"/>
        <w:pageBreakBefore w:val="0"/>
        <w:kinsoku/>
        <w:wordWrap/>
        <w:overflowPunct/>
        <w:topLinePunct w:val="0"/>
        <w:autoSpaceDE/>
        <w:autoSpaceDN/>
        <w:bidi w:val="0"/>
        <w:adjustRightInd/>
        <w:snapToGrid/>
        <w:spacing w:line="360" w:lineRule="auto"/>
        <w:ind w:firstLine="640"/>
        <w:textAlignment w:val="auto"/>
        <w:outlineLvl w:val="0"/>
        <w:rPr>
          <w:rFonts w:hint="eastAsia" w:ascii="仿宋" w:hAnsi="仿宋" w:eastAsia="仿宋" w:cs="仿宋"/>
          <w:color w:val="auto"/>
          <w:kern w:val="2"/>
          <w:sz w:val="28"/>
          <w:szCs w:val="28"/>
          <w:lang w:val="en-US" w:eastAsia="zh-CN" w:bidi="ar-SA"/>
        </w:rPr>
      </w:pPr>
      <w:r>
        <w:rPr>
          <w:rFonts w:hint="eastAsia" w:eastAsia="黑体"/>
          <w:color w:val="auto"/>
          <w:sz w:val="32"/>
          <w:szCs w:val="32"/>
        </w:rPr>
        <w:t>九</w:t>
      </w:r>
      <w:r>
        <w:rPr>
          <w:rFonts w:hint="eastAsia" w:eastAsia="黑体"/>
          <w:color w:val="auto"/>
          <w:sz w:val="32"/>
          <w:szCs w:val="32"/>
          <w:lang w:eastAsia="zh-CN"/>
        </w:rPr>
        <w:t>、</w:t>
      </w:r>
      <w:r>
        <w:rPr>
          <w:rFonts w:hint="eastAsia" w:eastAsia="黑体"/>
          <w:color w:val="auto"/>
          <w:sz w:val="32"/>
          <w:szCs w:val="32"/>
        </w:rPr>
        <w:t>补充说明</w:t>
      </w:r>
    </w:p>
    <w:p w14:paraId="0B8A8A30">
      <w:pPr>
        <w:pStyle w:val="2"/>
        <w:keepNext w:val="0"/>
        <w:keepLines w:val="0"/>
        <w:pageBreakBefore w:val="0"/>
        <w:widowControl/>
        <w:kinsoku/>
        <w:wordWrap/>
        <w:overflowPunct/>
        <w:topLinePunct w:val="0"/>
        <w:autoSpaceDE/>
        <w:autoSpaceDN/>
        <w:bidi w:val="0"/>
        <w:adjustRightInd/>
        <w:snapToGrid/>
        <w:spacing w:before="0" w:after="0" w:line="360" w:lineRule="auto"/>
        <w:ind w:firstLine="560" w:firstLineChars="200"/>
        <w:textAlignment w:val="auto"/>
        <w:outlineLvl w:val="9"/>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此项目债券资金总需求5200万元，根据地方政府债务限额管理要求和项目实施进展情况，2026年已发行650万元。本次拟继续发行1850万元，期限30年。该项目实施内容及收益来源未发生变动，在不超过项目债券总需求情况下，债券分批次跨年发行对项目整体融资平衡不构成实质影响。</w:t>
      </w:r>
    </w:p>
    <w:p w14:paraId="75017000">
      <w:pPr>
        <w:rPr>
          <w:rFonts w:hint="default"/>
          <w:lang w:val="en-US" w:eastAsia="zh-CN"/>
        </w:rPr>
      </w:pPr>
      <w:bookmarkStart w:id="108" w:name="_GoBack"/>
      <w:bookmarkEnd w:id="108"/>
    </w:p>
    <w:sectPr>
      <w:pgSz w:w="11906" w:h="16838"/>
      <w:pgMar w:top="1644" w:right="2098"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LF_Kai">
    <w:altName w:val="宋体"/>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Univers 45 Light">
    <w:altName w:val="Courier New"/>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11217">
    <w:pPr>
      <w:pStyle w:val="11"/>
      <w:ind w:firstLine="360"/>
      <w:jc w:val="center"/>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E6F3E6">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6AE6F3E6">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4A27C">
    <w:pPr>
      <w:pStyle w:val="12"/>
      <w:pBdr>
        <w:bottom w:val="none" w:color="auto" w:sz="0" w:space="0"/>
      </w:pBdr>
      <w:tabs>
        <w:tab w:val="center" w:pos="4150"/>
        <w:tab w:val="right" w:pos="8300"/>
        <w:tab w:val="clear" w:pos="4153"/>
        <w:tab w:val="clear" w:pos="8306"/>
      </w:tabs>
      <w:spacing w:line="240" w:lineRule="auto"/>
      <w:ind w:firstLine="0" w:firstLineChars="0"/>
    </w:pPr>
  </w:p>
  <w:p w14:paraId="6D07DDB6">
    <w:pPr>
      <w:spacing w:line="240" w:lineRule="auto"/>
      <w:ind w:firstLine="0" w:firstLineChars="0"/>
      <w:rPr>
        <w:rFonts w:hint="eastAsia"/>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D5D60">
    <w:pPr>
      <w:pStyle w:val="12"/>
      <w:pBdr>
        <w:bottom w:val="none" w:color="auto" w:sz="0" w:space="1"/>
      </w:pBdr>
      <w:rPr>
        <w:rFonts w:hint="eastAsia" w:eastAsia="宋体"/>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3Nzg3MGEwYmViZWMxM2U5ZmVkYzFmOGM0ZDdkNzQifQ=="/>
    <w:docVar w:name="KSO_WPS_MARK_KEY" w:val="2d3808d4-080a-46b2-a033-2dfcb43df983"/>
  </w:docVars>
  <w:rsids>
    <w:rsidRoot w:val="3FA016BB"/>
    <w:rsid w:val="016478F4"/>
    <w:rsid w:val="019422A6"/>
    <w:rsid w:val="02AC5234"/>
    <w:rsid w:val="02DF1D3D"/>
    <w:rsid w:val="03AA7B5F"/>
    <w:rsid w:val="05692F8B"/>
    <w:rsid w:val="06DD649D"/>
    <w:rsid w:val="07D01B5E"/>
    <w:rsid w:val="08860943"/>
    <w:rsid w:val="089B260D"/>
    <w:rsid w:val="08B46C87"/>
    <w:rsid w:val="08BD33F4"/>
    <w:rsid w:val="093E2451"/>
    <w:rsid w:val="09550CC1"/>
    <w:rsid w:val="09A11F51"/>
    <w:rsid w:val="0C6B4049"/>
    <w:rsid w:val="0C7C4062"/>
    <w:rsid w:val="0CBE28CD"/>
    <w:rsid w:val="0D03664E"/>
    <w:rsid w:val="0D140625"/>
    <w:rsid w:val="0F091065"/>
    <w:rsid w:val="0F271E22"/>
    <w:rsid w:val="0FC25AA9"/>
    <w:rsid w:val="11315910"/>
    <w:rsid w:val="12B57A7D"/>
    <w:rsid w:val="12C969C4"/>
    <w:rsid w:val="133129AC"/>
    <w:rsid w:val="13385F37"/>
    <w:rsid w:val="134A0B53"/>
    <w:rsid w:val="138A41C1"/>
    <w:rsid w:val="14294AD0"/>
    <w:rsid w:val="14894C55"/>
    <w:rsid w:val="15673B02"/>
    <w:rsid w:val="1598015F"/>
    <w:rsid w:val="15B11EE6"/>
    <w:rsid w:val="16BE3AB0"/>
    <w:rsid w:val="16BE59A3"/>
    <w:rsid w:val="181D0DEF"/>
    <w:rsid w:val="1825554A"/>
    <w:rsid w:val="187A1D9E"/>
    <w:rsid w:val="19524380"/>
    <w:rsid w:val="195B607F"/>
    <w:rsid w:val="19B613E8"/>
    <w:rsid w:val="1A1D0C33"/>
    <w:rsid w:val="1A22449B"/>
    <w:rsid w:val="1A89451A"/>
    <w:rsid w:val="1AAB26E2"/>
    <w:rsid w:val="1C623275"/>
    <w:rsid w:val="1CA63D28"/>
    <w:rsid w:val="1DCB6589"/>
    <w:rsid w:val="1F7252E7"/>
    <w:rsid w:val="1F7532BF"/>
    <w:rsid w:val="1FD57283"/>
    <w:rsid w:val="20427645"/>
    <w:rsid w:val="21997D01"/>
    <w:rsid w:val="21D7200F"/>
    <w:rsid w:val="221819BC"/>
    <w:rsid w:val="241A4435"/>
    <w:rsid w:val="257075E3"/>
    <w:rsid w:val="257E1526"/>
    <w:rsid w:val="26092584"/>
    <w:rsid w:val="265170F2"/>
    <w:rsid w:val="27BB1A8B"/>
    <w:rsid w:val="28754330"/>
    <w:rsid w:val="2A4627F7"/>
    <w:rsid w:val="2B0E788E"/>
    <w:rsid w:val="2B42499D"/>
    <w:rsid w:val="2B8A207C"/>
    <w:rsid w:val="2C45359F"/>
    <w:rsid w:val="2C5B55EB"/>
    <w:rsid w:val="2C772424"/>
    <w:rsid w:val="2D2041E2"/>
    <w:rsid w:val="2D7F180A"/>
    <w:rsid w:val="2D9139BA"/>
    <w:rsid w:val="2FE06533"/>
    <w:rsid w:val="307750E9"/>
    <w:rsid w:val="30E402A4"/>
    <w:rsid w:val="31651C7A"/>
    <w:rsid w:val="333068EB"/>
    <w:rsid w:val="338342F2"/>
    <w:rsid w:val="345E211C"/>
    <w:rsid w:val="348A1163"/>
    <w:rsid w:val="36567BA2"/>
    <w:rsid w:val="375548D2"/>
    <w:rsid w:val="385173CD"/>
    <w:rsid w:val="39550E85"/>
    <w:rsid w:val="39AB14DF"/>
    <w:rsid w:val="3A606BEE"/>
    <w:rsid w:val="3B3F4A55"/>
    <w:rsid w:val="3B862684"/>
    <w:rsid w:val="3D6764E5"/>
    <w:rsid w:val="3DC17E38"/>
    <w:rsid w:val="3F7171A7"/>
    <w:rsid w:val="3FA016BB"/>
    <w:rsid w:val="3FBF3121"/>
    <w:rsid w:val="3FE947AA"/>
    <w:rsid w:val="40E13EB9"/>
    <w:rsid w:val="428065A3"/>
    <w:rsid w:val="42E85458"/>
    <w:rsid w:val="43525542"/>
    <w:rsid w:val="448F7DDB"/>
    <w:rsid w:val="45E864DF"/>
    <w:rsid w:val="45F33215"/>
    <w:rsid w:val="46585B96"/>
    <w:rsid w:val="46FF7BD5"/>
    <w:rsid w:val="47AB4B07"/>
    <w:rsid w:val="487E46E3"/>
    <w:rsid w:val="49B20AE8"/>
    <w:rsid w:val="49DF7F66"/>
    <w:rsid w:val="49FC7FB5"/>
    <w:rsid w:val="4A225C6E"/>
    <w:rsid w:val="4AFE23CE"/>
    <w:rsid w:val="4B094738"/>
    <w:rsid w:val="4BA91FD8"/>
    <w:rsid w:val="4C383D20"/>
    <w:rsid w:val="4D590CF4"/>
    <w:rsid w:val="4D9F7B9D"/>
    <w:rsid w:val="4DE90850"/>
    <w:rsid w:val="4E0538DC"/>
    <w:rsid w:val="4ECF6AD5"/>
    <w:rsid w:val="4EFB7309"/>
    <w:rsid w:val="4FC11A85"/>
    <w:rsid w:val="4FE54DD3"/>
    <w:rsid w:val="512322CB"/>
    <w:rsid w:val="515E42D3"/>
    <w:rsid w:val="517C7D07"/>
    <w:rsid w:val="52900446"/>
    <w:rsid w:val="539C566F"/>
    <w:rsid w:val="54C24411"/>
    <w:rsid w:val="56A812A9"/>
    <w:rsid w:val="56AC797B"/>
    <w:rsid w:val="5794408F"/>
    <w:rsid w:val="58D46104"/>
    <w:rsid w:val="59070080"/>
    <w:rsid w:val="592C19E0"/>
    <w:rsid w:val="59916D7C"/>
    <w:rsid w:val="5B5473DC"/>
    <w:rsid w:val="5C606182"/>
    <w:rsid w:val="5D221689"/>
    <w:rsid w:val="5DB25F7C"/>
    <w:rsid w:val="5DEF17A5"/>
    <w:rsid w:val="60C017A4"/>
    <w:rsid w:val="612B4E50"/>
    <w:rsid w:val="621951BC"/>
    <w:rsid w:val="629D7C50"/>
    <w:rsid w:val="635B2E37"/>
    <w:rsid w:val="63D63372"/>
    <w:rsid w:val="641937E6"/>
    <w:rsid w:val="651C2EE6"/>
    <w:rsid w:val="655B7E2E"/>
    <w:rsid w:val="65F64108"/>
    <w:rsid w:val="667A754C"/>
    <w:rsid w:val="679A19BD"/>
    <w:rsid w:val="67FB3202"/>
    <w:rsid w:val="68496314"/>
    <w:rsid w:val="695A26B0"/>
    <w:rsid w:val="698750D7"/>
    <w:rsid w:val="69FF2580"/>
    <w:rsid w:val="6A9516EC"/>
    <w:rsid w:val="6ACA28B9"/>
    <w:rsid w:val="6AEB7832"/>
    <w:rsid w:val="6B2E643B"/>
    <w:rsid w:val="6C2C198C"/>
    <w:rsid w:val="6CB247D7"/>
    <w:rsid w:val="6D4F0278"/>
    <w:rsid w:val="6F20257D"/>
    <w:rsid w:val="7104581E"/>
    <w:rsid w:val="716442CB"/>
    <w:rsid w:val="718860E6"/>
    <w:rsid w:val="723637B5"/>
    <w:rsid w:val="72A65155"/>
    <w:rsid w:val="739A5FC5"/>
    <w:rsid w:val="73D019E7"/>
    <w:rsid w:val="742B3769"/>
    <w:rsid w:val="77090774"/>
    <w:rsid w:val="77AB254F"/>
    <w:rsid w:val="78BE2756"/>
    <w:rsid w:val="78C733B9"/>
    <w:rsid w:val="7A747570"/>
    <w:rsid w:val="7B000E04"/>
    <w:rsid w:val="7C855A65"/>
    <w:rsid w:val="7F34107C"/>
    <w:rsid w:val="7F623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2" w:lineRule="auto"/>
      <w:outlineLvl w:val="3"/>
    </w:pPr>
    <w:rPr>
      <w:rFonts w:ascii="Arial" w:hAnsi="Arial" w:eastAsia="黑体"/>
      <w:b/>
      <w:sz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widowControl/>
      <w:adjustRightInd w:val="0"/>
      <w:snapToGrid w:val="0"/>
      <w:spacing w:before="150" w:after="150" w:line="264" w:lineRule="auto"/>
      <w:ind w:firstLine="567"/>
    </w:pPr>
    <w:rPr>
      <w:rFonts w:ascii="华文楷体" w:hAnsi="华文楷体" w:eastAsia="LF_Kai"/>
      <w:kern w:val="0"/>
      <w:sz w:val="24"/>
      <w:szCs w:val="20"/>
      <w:lang w:val="en-GB"/>
    </w:rPr>
  </w:style>
  <w:style w:type="paragraph" w:styleId="3">
    <w:name w:val="toc 1"/>
    <w:basedOn w:val="1"/>
    <w:next w:val="1"/>
    <w:qFormat/>
    <w:uiPriority w:val="39"/>
    <w:pPr>
      <w:adjustRightInd w:val="0"/>
      <w:snapToGrid w:val="0"/>
      <w:spacing w:before="120" w:after="120"/>
      <w:jc w:val="left"/>
    </w:pPr>
    <w:rPr>
      <w:rFonts w:ascii="Calibri" w:hAnsi="Calibri" w:eastAsia="仿宋_GB2312" w:cs="Calibri"/>
      <w:b/>
      <w:bCs/>
      <w:caps/>
      <w:sz w:val="28"/>
      <w:szCs w:val="28"/>
    </w:rPr>
  </w:style>
  <w:style w:type="paragraph" w:styleId="6">
    <w:name w:val="Normal Indent"/>
    <w:qFormat/>
    <w:uiPriority w:val="0"/>
    <w:pPr>
      <w:widowControl w:val="0"/>
      <w:spacing w:before="260" w:after="260" w:line="360" w:lineRule="auto"/>
      <w:ind w:firstLine="540" w:firstLineChars="200"/>
      <w:jc w:val="both"/>
    </w:pPr>
    <w:rPr>
      <w:rFonts w:eastAsia="仿宋" w:asciiTheme="minorAscii" w:hAnsiTheme="minorAscii" w:cstheme="minorBidi"/>
      <w:kern w:val="2"/>
      <w:sz w:val="28"/>
      <w:szCs w:val="20"/>
      <w:lang w:val="en-US" w:eastAsia="zh-CN" w:bidi="ar-SA"/>
    </w:rPr>
  </w:style>
  <w:style w:type="paragraph" w:styleId="7">
    <w:name w:val="Body Text Indent"/>
    <w:basedOn w:val="1"/>
    <w:next w:val="8"/>
    <w:unhideWhenUsed/>
    <w:qFormat/>
    <w:uiPriority w:val="99"/>
    <w:pPr>
      <w:spacing w:after="120"/>
      <w:ind w:left="420" w:leftChars="200"/>
    </w:pPr>
  </w:style>
  <w:style w:type="paragraph" w:styleId="8">
    <w:name w:val="toc 4"/>
    <w:next w:val="1"/>
    <w:unhideWhenUsed/>
    <w:qFormat/>
    <w:uiPriority w:val="39"/>
    <w:pPr>
      <w:widowControl w:val="0"/>
      <w:spacing w:before="20" w:beforeLines="20" w:after="20" w:afterLines="20" w:line="360" w:lineRule="auto"/>
      <w:ind w:left="720" w:firstLine="200" w:firstLineChars="200"/>
      <w:jc w:val="left"/>
    </w:pPr>
    <w:rPr>
      <w:rFonts w:ascii="Calibri" w:hAnsi="Calibri" w:eastAsia="宋体" w:cs="Times New Roman"/>
      <w:kern w:val="2"/>
      <w:sz w:val="20"/>
      <w:szCs w:val="20"/>
      <w:lang w:val="en-US" w:eastAsia="zh-CN" w:bidi="ar-SA"/>
    </w:rPr>
  </w:style>
  <w:style w:type="paragraph" w:styleId="9">
    <w:name w:val="Block Text"/>
    <w:basedOn w:val="1"/>
    <w:next w:val="1"/>
    <w:qFormat/>
    <w:uiPriority w:val="99"/>
    <w:pPr>
      <w:spacing w:line="300" w:lineRule="exact"/>
      <w:ind w:left="-105" w:leftChars="-50" w:right="-105" w:rightChars="-50"/>
      <w:jc w:val="center"/>
    </w:pPr>
    <w:rPr>
      <w:rFonts w:ascii="宋体" w:hAnsi="宋体"/>
      <w:sz w:val="18"/>
      <w:szCs w:val="20"/>
    </w:rPr>
  </w:style>
  <w:style w:type="paragraph" w:styleId="10">
    <w:name w:val="Body Text Indent 2"/>
    <w:basedOn w:val="1"/>
    <w:qFormat/>
    <w:uiPriority w:val="0"/>
    <w:pPr>
      <w:spacing w:after="120" w:line="480" w:lineRule="auto"/>
      <w:ind w:left="420" w:leftChars="200"/>
    </w:pPr>
    <w:rPr>
      <w:sz w:val="21"/>
      <w:szCs w:val="24"/>
    </w:rPr>
  </w:style>
  <w:style w:type="paragraph" w:styleId="11">
    <w:name w:val="footer"/>
    <w:basedOn w:val="1"/>
    <w:unhideWhenUsed/>
    <w:qFormat/>
    <w:uiPriority w:val="99"/>
    <w:pPr>
      <w:tabs>
        <w:tab w:val="center" w:pos="4153"/>
        <w:tab w:val="right" w:pos="8306"/>
      </w:tabs>
      <w:snapToGrid w:val="0"/>
    </w:pPr>
    <w:rPr>
      <w:sz w:val="18"/>
      <w:szCs w:val="18"/>
    </w:rPr>
  </w:style>
  <w:style w:type="paragraph" w:styleId="12">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Body Text First Indent"/>
    <w:basedOn w:val="2"/>
    <w:next w:val="2"/>
    <w:qFormat/>
    <w:uiPriority w:val="0"/>
    <w:pPr>
      <w:autoSpaceDE/>
      <w:autoSpaceDN/>
      <w:adjustRightInd/>
      <w:spacing w:after="120"/>
      <w:ind w:firstLine="420" w:firstLineChars="100"/>
      <w:jc w:val="both"/>
    </w:pPr>
    <w:rPr>
      <w:kern w:val="2"/>
      <w:sz w:val="21"/>
    </w:rPr>
  </w:style>
  <w:style w:type="paragraph" w:styleId="14">
    <w:name w:val="Body Text First Indent 2"/>
    <w:basedOn w:val="7"/>
    <w:next w:val="6"/>
    <w:qFormat/>
    <w:uiPriority w:val="0"/>
    <w:pPr>
      <w:ind w:firstLine="420" w:firstLineChars="200"/>
    </w:pPr>
  </w:style>
  <w:style w:type="character" w:styleId="17">
    <w:name w:val="Emphasis"/>
    <w:basedOn w:val="16"/>
    <w:qFormat/>
    <w:uiPriority w:val="20"/>
    <w:rPr>
      <w:i/>
    </w:rPr>
  </w:style>
  <w:style w:type="paragraph" w:customStyle="1" w:styleId="18">
    <w:name w:val="正文文字 6"/>
    <w:next w:val="1"/>
    <w:qFormat/>
    <w:uiPriority w:val="0"/>
    <w:pPr>
      <w:widowControl w:val="0"/>
      <w:ind w:left="240"/>
      <w:jc w:val="both"/>
    </w:pPr>
    <w:rPr>
      <w:rFonts w:ascii="宋体" w:hAnsi="Times New Roman" w:eastAsia="宋体" w:cs="Times New Roman"/>
      <w:b/>
      <w:bCs/>
      <w:kern w:val="2"/>
      <w:sz w:val="32"/>
      <w:szCs w:val="32"/>
      <w:lang w:val="en-US" w:eastAsia="zh-CN" w:bidi="ar-SA"/>
    </w:rPr>
  </w:style>
  <w:style w:type="paragraph" w:customStyle="1" w:styleId="19">
    <w:name w:val="表格2"/>
    <w:basedOn w:val="9"/>
    <w:qFormat/>
    <w:uiPriority w:val="0"/>
    <w:pPr>
      <w:spacing w:line="240" w:lineRule="exact"/>
      <w:ind w:left="0" w:leftChars="0" w:right="0" w:rightChars="0" w:firstLine="0" w:firstLineChars="0"/>
    </w:pPr>
    <w:rPr>
      <w:rFonts w:ascii="Times New Roman" w:hAnsi="Times New Roman" w:cs="Times New Roman"/>
      <w:sz w:val="22"/>
      <w:szCs w:val="20"/>
    </w:rPr>
  </w:style>
  <w:style w:type="paragraph" w:customStyle="1" w:styleId="20">
    <w:name w:val="样式8"/>
    <w:basedOn w:val="1"/>
    <w:link w:val="25"/>
    <w:qFormat/>
    <w:uiPriority w:val="0"/>
    <w:pPr>
      <w:spacing w:line="360" w:lineRule="auto"/>
      <w:ind w:firstLine="720" w:firstLineChars="200"/>
      <w:jc w:val="both"/>
    </w:pPr>
    <w:rPr>
      <w:rFonts w:ascii="Times New Roman" w:hAnsi="Times New Roman" w:eastAsia="仿宋"/>
      <w:sz w:val="28"/>
      <w:szCs w:val="24"/>
    </w:rPr>
  </w:style>
  <w:style w:type="paragraph" w:customStyle="1" w:styleId="21">
    <w:name w:val="表格222"/>
    <w:basedOn w:val="3"/>
    <w:qFormat/>
    <w:uiPriority w:val="0"/>
    <w:pPr>
      <w:spacing w:line="240" w:lineRule="exact"/>
      <w:jc w:val="center"/>
    </w:pPr>
    <w:rPr>
      <w:rFonts w:ascii="Times New Roman" w:hAnsi="Times New Roman" w:eastAsia="仿宋" w:cs="Calibri"/>
      <w:sz w:val="22"/>
    </w:rPr>
  </w:style>
  <w:style w:type="paragraph" w:customStyle="1" w:styleId="22">
    <w:name w:val="Default"/>
    <w:qFormat/>
    <w:uiPriority w:val="0"/>
    <w:pPr>
      <w:widowControl w:val="0"/>
      <w:autoSpaceDE w:val="0"/>
      <w:autoSpaceDN w:val="0"/>
      <w:adjustRightInd w:val="0"/>
    </w:pPr>
    <w:rPr>
      <w:rFonts w:ascii="Univers 45 Light" w:hAnsi="Times New Roman" w:eastAsia="Univers 45 Light" w:cs="Univers 45 Light"/>
      <w:color w:val="000000"/>
      <w:sz w:val="24"/>
      <w:szCs w:val="24"/>
      <w:lang w:val="en-US" w:eastAsia="zh-CN" w:bidi="ar-SA"/>
    </w:rPr>
  </w:style>
  <w:style w:type="character" w:customStyle="1" w:styleId="23">
    <w:name w:val="font21"/>
    <w:basedOn w:val="16"/>
    <w:qFormat/>
    <w:uiPriority w:val="0"/>
    <w:rPr>
      <w:rFonts w:hint="default" w:ascii="Times New Roman" w:hAnsi="Times New Roman" w:cs="Times New Roman"/>
      <w:color w:val="000000"/>
      <w:sz w:val="28"/>
      <w:szCs w:val="28"/>
      <w:u w:val="none"/>
    </w:rPr>
  </w:style>
  <w:style w:type="character" w:customStyle="1" w:styleId="24">
    <w:name w:val="font31"/>
    <w:basedOn w:val="16"/>
    <w:qFormat/>
    <w:uiPriority w:val="0"/>
    <w:rPr>
      <w:rFonts w:hint="eastAsia" w:ascii="宋体" w:hAnsi="宋体" w:eastAsia="宋体" w:cs="宋体"/>
      <w:color w:val="000000"/>
      <w:sz w:val="20"/>
      <w:szCs w:val="20"/>
      <w:u w:val="none"/>
    </w:rPr>
  </w:style>
  <w:style w:type="character" w:customStyle="1" w:styleId="25">
    <w:name w:val="样式8 Char1"/>
    <w:link w:val="20"/>
    <w:qFormat/>
    <w:uiPriority w:val="0"/>
    <w:rPr>
      <w:rFonts w:ascii="Times New Roman" w:hAnsi="Times New Roman" w:eastAsia="仿宋"/>
      <w:sz w:val="2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5229</Words>
  <Characters>5613</Characters>
  <Lines>0</Lines>
  <Paragraphs>0</Paragraphs>
  <TotalTime>10</TotalTime>
  <ScaleCrop>false</ScaleCrop>
  <LinksUpToDate>false</LinksUpToDate>
  <CharactersWithSpaces>5614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2019-12-07T12:57:00Z</dcterms:created>
  <dc:creator>李仕林</dc:creator>
  <cp:lastModifiedBy>美美</cp:lastModifiedBy>
  <dcterms:modified xsi:type="dcterms:W3CDTF">2026-06-04T07:28:31Z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CC2AEE18A4814199B67FF7600303A808_13</vt:lpwstr>
  </property>
  <property fmtid="{D5CDD505-2E9C-101B-9397-08002B2CF9AE}" pid="4" name="KSOTemplateDocerSaveRecord">
    <vt:lpwstr>eyJoZGlkIjoiNDIyNDgxOGVmMTA0MTQ0MzFhMWZlY2U1YjU3Yjk2MWEiLCJ1c2VySWQiOiIzNjUyNjU4NTAifQ==</vt:lpwstr>
  </property>
</Properties>
</file>